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BEB69">
      <w:pPr>
        <w:wordWrap w:val="0"/>
        <w:jc w:val="right"/>
        <w:rPr>
          <w:rFonts w:hint="eastAsia" w:ascii="宋体" w:hAnsi="宋体" w:cs="宋体"/>
          <w:kern w:val="0"/>
          <w:sz w:val="24"/>
          <w:highlight w:val="none"/>
        </w:rPr>
      </w:pPr>
      <w:r>
        <w:rPr>
          <w:rFonts w:ascii="宋体" w:hAnsi="宋体" w:cs="宋体"/>
          <w:kern w:val="0"/>
          <w:sz w:val="24"/>
          <w:highlight w:val="none"/>
        </w:rPr>
        <w:drawing>
          <wp:inline distT="0" distB="0" distL="114300" distR="114300">
            <wp:extent cx="1938020" cy="849630"/>
            <wp:effectExtent l="0" t="0" r="5080" b="1270"/>
            <wp:docPr id="6" name="图片 1" descr="772~1O4HXZEI_K7XGVEJ3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772~1O4HXZEI_K7XGVEJ3Z7"/>
                    <pic:cNvPicPr>
                      <a:picLocks noChangeAspect="1"/>
                    </pic:cNvPicPr>
                  </pic:nvPicPr>
                  <pic:blipFill>
                    <a:blip r:embed="rId15"/>
                    <a:stretch>
                      <a:fillRect/>
                    </a:stretch>
                  </pic:blipFill>
                  <pic:spPr>
                    <a:xfrm>
                      <a:off x="0" y="0"/>
                      <a:ext cx="1938020" cy="849630"/>
                    </a:xfrm>
                    <a:prstGeom prst="rect">
                      <a:avLst/>
                    </a:prstGeom>
                    <a:noFill/>
                    <a:ln>
                      <a:noFill/>
                    </a:ln>
                  </pic:spPr>
                </pic:pic>
              </a:graphicData>
            </a:graphic>
          </wp:inline>
        </w:drawing>
      </w:r>
      <w:r>
        <w:rPr>
          <w:rFonts w:hint="eastAsia" w:ascii="宋体" w:hAnsi="宋体" w:cs="宋体"/>
          <w:kern w:val="0"/>
          <w:sz w:val="24"/>
          <w:highlight w:val="none"/>
        </w:rPr>
        <w:t xml:space="preserve">    </w:t>
      </w:r>
    </w:p>
    <w:p w14:paraId="3E6132F6">
      <w:pPr>
        <w:spacing w:before="624" w:beforeLines="200" w:line="360" w:lineRule="auto"/>
        <w:jc w:val="center"/>
        <w:rPr>
          <w:rFonts w:ascii="宋体" w:hAnsi="宋体"/>
          <w:b/>
          <w:spacing w:val="40"/>
          <w:sz w:val="52"/>
          <w:szCs w:val="52"/>
          <w:highlight w:val="none"/>
        </w:rPr>
      </w:pPr>
      <w:r>
        <w:rPr>
          <w:rFonts w:hint="eastAsia" w:ascii="宋体" w:hAnsi="宋体"/>
          <w:b/>
          <w:spacing w:val="40"/>
          <w:sz w:val="52"/>
          <w:szCs w:val="52"/>
          <w:highlight w:val="none"/>
        </w:rPr>
        <w:t>中华人民共和国国家计量技术规范</w:t>
      </w:r>
    </w:p>
    <w:p w14:paraId="5CB0CA3D">
      <w:pPr>
        <w:jc w:val="center"/>
        <w:rPr>
          <w:rFonts w:hint="eastAsia" w:eastAsia="方正大标宋简体"/>
          <w:sz w:val="24"/>
          <w:highlight w:val="none"/>
        </w:rPr>
      </w:pPr>
    </w:p>
    <w:p w14:paraId="0A0C8E85">
      <w:pPr>
        <w:spacing w:line="420" w:lineRule="exact"/>
        <w:ind w:firstLine="4760" w:firstLineChars="1700"/>
        <w:jc w:val="both"/>
        <w:outlineLvl w:val="9"/>
        <w:rPr>
          <w:rFonts w:hint="eastAsia" w:ascii="黑体" w:hAnsi="黑体" w:eastAsia="黑体"/>
          <w:sz w:val="28"/>
          <w:highlight w:val="none"/>
        </w:rPr>
      </w:pPr>
      <w:bookmarkStart w:id="0" w:name="_Toc514316609"/>
      <w:r>
        <w:rPr>
          <w:rFonts w:hint="eastAsia"/>
          <w:sz w:val="28"/>
          <w:highlight w:val="none"/>
        </w:rPr>
        <w:t xml:space="preserve">        </w:t>
      </w:r>
      <w:r>
        <w:rPr>
          <w:rFonts w:hint="eastAsia" w:ascii="黑体" w:hAnsi="黑体" w:eastAsia="黑体"/>
          <w:sz w:val="28"/>
          <w:highlight w:val="none"/>
        </w:rPr>
        <w:t xml:space="preserve"> </w:t>
      </w:r>
      <w:bookmarkStart w:id="1" w:name="_Toc13876"/>
      <w:bookmarkStart w:id="2" w:name="_Toc54707736"/>
      <w:bookmarkStart w:id="3" w:name="_Toc101442443"/>
      <w:bookmarkStart w:id="4" w:name="_Toc101281453"/>
      <w:bookmarkStart w:id="5" w:name="_Toc529806650"/>
      <w:r>
        <w:rPr>
          <w:rFonts w:hint="eastAsia" w:ascii="黑体" w:hAnsi="黑体" w:eastAsia="黑体"/>
          <w:sz w:val="28"/>
          <w:highlight w:val="none"/>
        </w:rPr>
        <w:t>JJF XXXX-XXXX</w:t>
      </w:r>
      <w:bookmarkEnd w:id="0"/>
      <w:bookmarkEnd w:id="1"/>
      <w:bookmarkEnd w:id="2"/>
      <w:bookmarkEnd w:id="3"/>
      <w:bookmarkEnd w:id="4"/>
      <w:bookmarkEnd w:id="5"/>
    </w:p>
    <w:p w14:paraId="11B0293A">
      <w:pPr>
        <w:rPr>
          <w:rFonts w:hint="eastAsia" w:eastAsia="方正大标宋简体"/>
          <w:sz w:val="24"/>
          <w:highlight w:val="none"/>
        </w:rPr>
      </w:pPr>
    </w:p>
    <w:p w14:paraId="62E215D6">
      <w:pPr>
        <w:rPr>
          <w:rFonts w:hint="eastAsia" w:eastAsia="方正大标宋简体"/>
          <w:sz w:val="24"/>
          <w:highlight w:val="none"/>
        </w:rPr>
      </w:pPr>
      <w:r>
        <w:rPr>
          <w:sz w:val="20"/>
          <w:highlight w:val="none"/>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6221730" cy="0"/>
                <wp:effectExtent l="0" t="9525" r="1270" b="9525"/>
                <wp:wrapNone/>
                <wp:docPr id="3" name="直线 2"/>
                <wp:cNvGraphicFramePr/>
                <a:graphic xmlns:a="http://schemas.openxmlformats.org/drawingml/2006/main">
                  <a:graphicData uri="http://schemas.microsoft.com/office/word/2010/wordprocessingShape">
                    <wps:wsp>
                      <wps:cNvCnPr/>
                      <wps:spPr>
                        <a:xfrm>
                          <a:off x="0" y="0"/>
                          <a:ext cx="6221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8pt;margin-top:0pt;height:0pt;width:489.9pt;z-index:251661312;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Mky6vUAAAA&#10;BQEAAA8AAAAAAAAAAQAgAAAAIgAAAGRycy9kb3ducmV2LnhtbFBLAQIUABQAAAAIAIdO4kCEGJzI&#10;6AEAANwDAAAOAAAAAAAAAAEAIAAAACMBAABkcnMvZTJvRG9jLnhtbFBLBQYAAAAABgAGAFkBAAB9&#10;BQAAAAA=&#10;">
                <v:fill on="f" focussize="0,0"/>
                <v:stroke weight="1.5pt" color="#000000" joinstyle="round"/>
                <v:imagedata o:title=""/>
                <o:lock v:ext="edit" aspectratio="f"/>
              </v:line>
            </w:pict>
          </mc:Fallback>
        </mc:AlternateContent>
      </w:r>
    </w:p>
    <w:p w14:paraId="3DF05847">
      <w:pPr>
        <w:rPr>
          <w:rFonts w:hint="eastAsia"/>
          <w:color w:val="000000"/>
          <w:sz w:val="24"/>
          <w:szCs w:val="24"/>
          <w:highlight w:val="none"/>
        </w:rPr>
      </w:pPr>
    </w:p>
    <w:p w14:paraId="39DD45A5">
      <w:pPr>
        <w:rPr>
          <w:rFonts w:hint="eastAsia"/>
          <w:color w:val="000000"/>
          <w:sz w:val="24"/>
          <w:szCs w:val="24"/>
          <w:highlight w:val="none"/>
        </w:rPr>
      </w:pPr>
    </w:p>
    <w:p w14:paraId="4E7ED7AA">
      <w:pPr>
        <w:rPr>
          <w:color w:val="000000"/>
          <w:sz w:val="24"/>
          <w:szCs w:val="24"/>
          <w:highlight w:val="none"/>
        </w:rPr>
      </w:pPr>
    </w:p>
    <w:p w14:paraId="51AEBF4A">
      <w:pPr>
        <w:rPr>
          <w:color w:val="000000"/>
          <w:sz w:val="24"/>
          <w:szCs w:val="24"/>
          <w:highlight w:val="none"/>
        </w:rPr>
      </w:pPr>
    </w:p>
    <w:p w14:paraId="29FB9E98">
      <w:pPr>
        <w:jc w:val="center"/>
        <w:rPr>
          <w:rFonts w:ascii="黑体" w:eastAsia="黑体"/>
          <w:color w:val="000000"/>
          <w:sz w:val="52"/>
          <w:szCs w:val="52"/>
          <w:highlight w:val="none"/>
        </w:rPr>
      </w:pPr>
      <w:bookmarkStart w:id="6" w:name="OLE_LINK1"/>
      <w:r>
        <w:rPr>
          <w:rFonts w:hint="eastAsia" w:eastAsia="黑体" w:cs="黑体"/>
          <w:sz w:val="52"/>
          <w:szCs w:val="52"/>
          <w:highlight w:val="none"/>
          <w:lang w:val="en-US" w:eastAsia="zh-CN"/>
        </w:rPr>
        <w:t>材料荧光特性校准规范</w:t>
      </w:r>
      <w:bookmarkEnd w:id="6"/>
    </w:p>
    <w:p w14:paraId="517735CC">
      <w:pPr>
        <w:adjustRightInd w:val="0"/>
        <w:snapToGrid w:val="0"/>
        <w:spacing w:line="360" w:lineRule="auto"/>
        <w:jc w:val="center"/>
        <w:rPr>
          <w:rFonts w:ascii="黑体" w:hAnsi="黑体" w:eastAsia="黑体"/>
          <w:b/>
          <w:bCs/>
          <w:sz w:val="28"/>
          <w:szCs w:val="28"/>
          <w:highlight w:val="none"/>
        </w:rPr>
      </w:pPr>
      <w:r>
        <w:rPr>
          <w:rFonts w:hint="eastAsia" w:ascii="黑体" w:hAnsi="黑体" w:eastAsia="黑体"/>
          <w:b/>
          <w:bCs/>
          <w:sz w:val="28"/>
          <w:szCs w:val="28"/>
          <w:highlight w:val="none"/>
        </w:rPr>
        <w:t>Fluorescence Characteristics of Materials</w:t>
      </w:r>
    </w:p>
    <w:p w14:paraId="25F3B40D">
      <w:pPr>
        <w:jc w:val="center"/>
        <w:rPr>
          <w:rFonts w:hint="eastAsia" w:ascii="黑体" w:eastAsia="黑体"/>
          <w:color w:val="000000"/>
          <w:sz w:val="28"/>
          <w:szCs w:val="28"/>
          <w:highlight w:val="none"/>
        </w:rPr>
      </w:pPr>
    </w:p>
    <w:p w14:paraId="075AC450">
      <w:pPr>
        <w:jc w:val="center"/>
        <w:rPr>
          <w:rFonts w:ascii="黑体" w:eastAsia="黑体"/>
          <w:color w:val="000000"/>
          <w:sz w:val="28"/>
          <w:szCs w:val="28"/>
          <w:highlight w:val="none"/>
        </w:rPr>
      </w:pPr>
      <w:r>
        <w:rPr>
          <w:rFonts w:hint="eastAsia" w:ascii="黑体" w:eastAsia="黑体"/>
          <w:color w:val="000000"/>
          <w:sz w:val="28"/>
          <w:szCs w:val="28"/>
          <w:highlight w:val="none"/>
        </w:rPr>
        <w:t>（</w:t>
      </w:r>
      <w:r>
        <w:rPr>
          <w:rFonts w:hint="eastAsia" w:ascii="黑体" w:eastAsia="黑体"/>
          <w:color w:val="000000"/>
          <w:sz w:val="28"/>
          <w:szCs w:val="28"/>
          <w:highlight w:val="none"/>
          <w:lang w:val="en-US" w:eastAsia="zh-CN"/>
        </w:rPr>
        <w:t>征求意见稿</w:t>
      </w:r>
      <w:r>
        <w:rPr>
          <w:rFonts w:hint="eastAsia" w:ascii="黑体" w:eastAsia="黑体"/>
          <w:color w:val="000000"/>
          <w:sz w:val="28"/>
          <w:szCs w:val="28"/>
          <w:highlight w:val="none"/>
        </w:rPr>
        <w:t>）</w:t>
      </w:r>
    </w:p>
    <w:p w14:paraId="708732C8">
      <w:pPr>
        <w:rPr>
          <w:color w:val="000000"/>
          <w:sz w:val="24"/>
          <w:szCs w:val="24"/>
          <w:highlight w:val="none"/>
        </w:rPr>
      </w:pPr>
    </w:p>
    <w:p w14:paraId="5DCC2842">
      <w:pPr>
        <w:rPr>
          <w:color w:val="000000"/>
          <w:sz w:val="24"/>
          <w:szCs w:val="24"/>
          <w:highlight w:val="none"/>
        </w:rPr>
      </w:pPr>
    </w:p>
    <w:p w14:paraId="1E9A479C">
      <w:pPr>
        <w:rPr>
          <w:color w:val="000000"/>
          <w:sz w:val="24"/>
          <w:szCs w:val="24"/>
          <w:highlight w:val="none"/>
        </w:rPr>
      </w:pPr>
    </w:p>
    <w:p w14:paraId="11F6B142">
      <w:pPr>
        <w:rPr>
          <w:color w:val="000000"/>
          <w:sz w:val="24"/>
          <w:szCs w:val="24"/>
          <w:highlight w:val="none"/>
        </w:rPr>
      </w:pPr>
    </w:p>
    <w:p w14:paraId="3711DB92">
      <w:pPr>
        <w:rPr>
          <w:color w:val="000000"/>
          <w:sz w:val="24"/>
          <w:szCs w:val="24"/>
          <w:highlight w:val="none"/>
        </w:rPr>
      </w:pPr>
    </w:p>
    <w:p w14:paraId="4613E12F">
      <w:pPr>
        <w:rPr>
          <w:color w:val="000000"/>
          <w:sz w:val="24"/>
          <w:szCs w:val="24"/>
          <w:highlight w:val="none"/>
        </w:rPr>
      </w:pPr>
    </w:p>
    <w:p w14:paraId="64FDA36A">
      <w:pPr>
        <w:rPr>
          <w:color w:val="000000"/>
          <w:sz w:val="24"/>
          <w:szCs w:val="24"/>
          <w:highlight w:val="none"/>
        </w:rPr>
      </w:pPr>
    </w:p>
    <w:p w14:paraId="5701A0BC">
      <w:pPr>
        <w:rPr>
          <w:color w:val="000000"/>
          <w:sz w:val="24"/>
          <w:szCs w:val="24"/>
          <w:highlight w:val="none"/>
        </w:rPr>
      </w:pPr>
    </w:p>
    <w:p w14:paraId="0BE02DC1">
      <w:pPr>
        <w:rPr>
          <w:color w:val="000000"/>
          <w:sz w:val="24"/>
          <w:szCs w:val="24"/>
          <w:highlight w:val="none"/>
        </w:rPr>
      </w:pPr>
    </w:p>
    <w:p w14:paraId="62D82160">
      <w:pPr>
        <w:rPr>
          <w:rFonts w:hint="eastAsia"/>
          <w:color w:val="000000"/>
          <w:sz w:val="24"/>
          <w:szCs w:val="24"/>
          <w:highlight w:val="none"/>
        </w:rPr>
      </w:pPr>
    </w:p>
    <w:p w14:paraId="2BCF7D80">
      <w:pPr>
        <w:spacing w:after="156" w:afterLines="50"/>
        <w:rPr>
          <w:rFonts w:hint="eastAsia" w:ascii="黑体" w:eastAsia="黑体"/>
          <w:b/>
          <w:bCs/>
          <w:sz w:val="28"/>
          <w:highlight w:val="none"/>
        </w:rPr>
      </w:pPr>
      <w:bookmarkStart w:id="7" w:name="_Toc511320447"/>
      <w:bookmarkStart w:id="8" w:name="_Toc511311514"/>
      <w:r>
        <w:rPr>
          <w:rFonts w:hint="eastAsia" w:ascii="黑体" w:eastAsia="黑体"/>
          <w:b/>
          <w:bCs/>
          <w:sz w:val="28"/>
          <w:highlight w:val="none"/>
        </w:rPr>
        <w:t>XXXX-XX-XX发布</w:t>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ab/>
      </w:r>
      <w:r>
        <w:rPr>
          <w:rFonts w:hint="eastAsia" w:ascii="黑体" w:eastAsia="黑体"/>
          <w:b/>
          <w:bCs/>
          <w:sz w:val="28"/>
          <w:highlight w:val="none"/>
        </w:rPr>
        <w:t xml:space="preserve">  XXXX-XX-XX实施</w:t>
      </w:r>
      <w:r>
        <w:rPr>
          <w:rFonts w:ascii="黑体" w:eastAsia="黑体"/>
          <w:b/>
          <w:bCs/>
          <w:sz w:val="28"/>
          <w:highlight w:val="none"/>
        </w:rP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453390</wp:posOffset>
                </wp:positionV>
                <wp:extent cx="6221730" cy="0"/>
                <wp:effectExtent l="0" t="9525" r="1270" b="9525"/>
                <wp:wrapNone/>
                <wp:docPr id="4" name="直线 3"/>
                <wp:cNvGraphicFramePr/>
                <a:graphic xmlns:a="http://schemas.openxmlformats.org/drawingml/2006/main">
                  <a:graphicData uri="http://schemas.microsoft.com/office/word/2010/wordprocessingShape">
                    <wps:wsp>
                      <wps:cNvCnPr/>
                      <wps:spPr>
                        <a:xfrm>
                          <a:off x="0" y="0"/>
                          <a:ext cx="6221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18pt;margin-top:35.7pt;height:0pt;width:489.9pt;z-index:251662336;mso-width-relative:page;mso-height-relative:page;" filled="f" stroked="t" coordsize="21600,21600" o:gfxdata="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oWtRdYA&#10;AAAJAQAADwAAAAAAAAABACAAAAAiAAAAZHJzL2Rvd25yZXYueG1sUEsBAhQAFAAAAAgAh07iQCgm&#10;7XjoAQAA3AMAAA4AAAAAAAAAAQAgAAAAJQEAAGRycy9lMm9Eb2MueG1sUEsFBgAAAAAGAAYAWQEA&#10;AH8FAAAAAA==&#10;">
                <v:fill on="f" focussize="0,0"/>
                <v:stroke weight="1.5pt" color="#000000" joinstyle="round"/>
                <v:imagedata o:title=""/>
                <o:lock v:ext="edit" aspectratio="f"/>
              </v:line>
            </w:pict>
          </mc:Fallback>
        </mc:AlternateContent>
      </w:r>
    </w:p>
    <w:p w14:paraId="02D25C7B">
      <w:pPr>
        <w:jc w:val="center"/>
        <w:rPr>
          <w:sz w:val="24"/>
          <w:highlight w:val="none"/>
        </w:rPr>
        <w:sectPr>
          <w:headerReference r:id="rId4" w:type="first"/>
          <w:footerReference r:id="rId6" w:type="first"/>
          <w:headerReference r:id="rId3" w:type="default"/>
          <w:footerReference r:id="rId5" w:type="default"/>
          <w:footnotePr>
            <w:numFmt w:val="decimalFullWidth"/>
            <w:numRestart w:val="eachPage"/>
          </w:footnotePr>
          <w:pgSz w:w="11906" w:h="16838"/>
          <w:pgMar w:top="1588" w:right="1418" w:bottom="1418" w:left="1418" w:header="851" w:footer="992" w:gutter="0"/>
          <w:cols w:space="720" w:num="1"/>
          <w:docGrid w:type="lines" w:linePitch="312" w:charSpace="0"/>
        </w:sectPr>
      </w:pPr>
      <w:r>
        <w:rPr>
          <w:rFonts w:hint="eastAsia" w:ascii="宋体" w:hAnsi="宋体"/>
          <w:b/>
          <w:spacing w:val="60"/>
          <w:sz w:val="44"/>
          <w:szCs w:val="44"/>
          <w:highlight w:val="none"/>
        </w:rPr>
        <w:t>国家市场监督管理总局</w:t>
      </w:r>
      <w:r>
        <w:rPr>
          <w:rFonts w:hint="eastAsia" w:ascii="黑体" w:eastAsia="黑体"/>
          <w:bCs/>
          <w:sz w:val="28"/>
          <w:highlight w:val="none"/>
        </w:rPr>
        <w:t>发 布</w:t>
      </w:r>
    </w:p>
    <w:p w14:paraId="170A51CE">
      <w:pPr>
        <w:tabs>
          <w:tab w:val="left" w:pos="6079"/>
        </w:tabs>
        <w:spacing w:line="360" w:lineRule="auto"/>
        <w:ind w:firstLine="251" w:firstLineChars="100"/>
        <w:rPr>
          <w:rFonts w:hint="eastAsia" w:ascii="黑体" w:hAnsi="黑体" w:eastAsia="黑体"/>
          <w:b/>
          <w:spacing w:val="20"/>
          <w:sz w:val="21"/>
          <w:szCs w:val="21"/>
          <w:highlight w:val="none"/>
        </w:rPr>
      </w:pPr>
    </w:p>
    <w:p w14:paraId="1023EF63">
      <w:pPr>
        <w:tabs>
          <w:tab w:val="left" w:pos="6079"/>
        </w:tabs>
        <w:spacing w:line="700" w:lineRule="exact"/>
        <w:jc w:val="left"/>
        <w:rPr>
          <w:rFonts w:hint="eastAsia" w:eastAsia="方正大黑简体"/>
          <w:b/>
          <w:color w:val="FF0000"/>
          <w:spacing w:val="20"/>
          <w:sz w:val="40"/>
          <w:highlight w:val="none"/>
        </w:rPr>
      </w:pPr>
      <w:r>
        <w:rPr>
          <w:rFonts w:hint="eastAsia" w:ascii="黑体" w:hAnsi="黑体" w:eastAsia="黑体"/>
          <w:b/>
          <w:spacing w:val="20"/>
          <w:sz w:val="44"/>
          <w:szCs w:val="44"/>
          <w:highlight w:val="none"/>
          <w:lang w:val="en-US" w:eastAsia="zh-CN"/>
        </w:rPr>
        <w:t>材料荧光特性</w:t>
      </w:r>
      <w:r>
        <w:rPr>
          <w:rFonts w:hint="eastAsia" w:ascii="黑体" w:hAnsi="黑体" w:eastAsia="黑体"/>
          <w:b/>
          <w:spacing w:val="20"/>
          <w:sz w:val="44"/>
          <w:szCs w:val="44"/>
          <w:highlight w:val="none"/>
        </w:rPr>
        <w:t>校准规范</w:t>
      </w:r>
      <w:r>
        <w:rPr>
          <w:highlight w:val="none"/>
        </w:rPr>
        <w:drawing>
          <wp:anchor distT="0" distB="0" distL="114300" distR="114300" simplePos="0" relativeHeight="251659264" behindDoc="0" locked="1" layoutInCell="1" allowOverlap="1">
            <wp:simplePos x="0" y="0"/>
            <wp:positionH relativeFrom="page">
              <wp:posOffset>5031740</wp:posOffset>
            </wp:positionH>
            <wp:positionV relativeFrom="page">
              <wp:posOffset>1348105</wp:posOffset>
            </wp:positionV>
            <wp:extent cx="1628775" cy="791845"/>
            <wp:effectExtent l="0" t="0" r="9525" b="8255"/>
            <wp:wrapSquare wrapText="bothSides"/>
            <wp:docPr id="1" name="_x0000_s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s1194"/>
                    <pic:cNvPicPr>
                      <a:picLocks noChangeAspect="1"/>
                    </pic:cNvPicPr>
                  </pic:nvPicPr>
                  <pic:blipFill>
                    <a:blip r:embed="rId16"/>
                    <a:stretch>
                      <a:fillRect/>
                    </a:stretch>
                  </pic:blipFill>
                  <pic:spPr>
                    <a:xfrm>
                      <a:off x="0" y="0"/>
                      <a:ext cx="1628775" cy="791845"/>
                    </a:xfrm>
                    <a:prstGeom prst="rect">
                      <a:avLst/>
                    </a:prstGeom>
                    <a:noFill/>
                    <a:ln>
                      <a:noFill/>
                    </a:ln>
                  </pic:spPr>
                </pic:pic>
              </a:graphicData>
            </a:graphic>
          </wp:anchor>
        </w:drawing>
      </w:r>
    </w:p>
    <w:p w14:paraId="1459DDAD">
      <w:pPr>
        <w:spacing w:line="700" w:lineRule="exact"/>
        <w:jc w:val="both"/>
        <w:rPr>
          <w:rFonts w:hint="eastAsia" w:ascii="黑体" w:hAnsi="黑体" w:eastAsia="黑体"/>
          <w:b/>
          <w:bCs/>
          <w:color w:val="0000FF"/>
          <w:sz w:val="28"/>
          <w:szCs w:val="28"/>
          <w:highlight w:val="none"/>
        </w:rPr>
      </w:pPr>
      <w:r>
        <w:rPr>
          <w:rFonts w:hint="eastAsia" w:ascii="黑体" w:hAnsi="黑体" w:eastAsia="黑体"/>
          <w:b/>
          <w:bCs/>
          <w:sz w:val="28"/>
          <w:szCs w:val="28"/>
          <w:highlight w:val="none"/>
        </w:rPr>
        <w:t>Calibration Specification</w:t>
      </w:r>
      <w:r>
        <w:rPr>
          <w:rFonts w:ascii="黑体" w:hAnsi="黑体" w:eastAsia="黑体"/>
          <w:b/>
          <w:bCs/>
          <w:sz w:val="28"/>
          <w:szCs w:val="28"/>
          <w:highlight w:val="none"/>
        </w:rPr>
        <w:t xml:space="preserve"> </w:t>
      </w:r>
      <w:r>
        <w:rPr>
          <w:rFonts w:hint="eastAsia" w:ascii="黑体" w:hAnsi="黑体" w:eastAsia="黑体"/>
          <w:b/>
          <w:bCs/>
          <w:sz w:val="28"/>
          <w:szCs w:val="28"/>
          <w:highlight w:val="none"/>
        </w:rPr>
        <w:t>for</w:t>
      </w:r>
      <w:r>
        <w:rPr>
          <w:rFonts w:hint="eastAsia" w:ascii="黑体" w:hAnsi="黑体" w:eastAsia="黑体"/>
          <w:b/>
          <w:bCs/>
          <w:color w:val="0000FF"/>
          <w:sz w:val="28"/>
          <w:szCs w:val="28"/>
          <w:highlight w:val="none"/>
        </w:rPr>
        <w:t xml:space="preserve"> </w:t>
      </w:r>
    </w:p>
    <w:p w14:paraId="631BE5B1">
      <w:pPr>
        <w:spacing w:line="700" w:lineRule="exact"/>
        <w:jc w:val="both"/>
        <w:rPr>
          <w:rFonts w:hint="eastAsia" w:ascii="黑体" w:hAnsi="黑体" w:eastAsia="黑体" w:cs="Times New Roman"/>
          <w:b/>
          <w:bCs/>
          <w:color w:val="0000FF"/>
          <w:sz w:val="28"/>
          <w:szCs w:val="28"/>
          <w:highlight w:val="none"/>
          <w:lang w:val="en-US" w:eastAsia="zh-CN"/>
        </w:rPr>
      </w:pPr>
      <w:r>
        <w:rPr>
          <w:rFonts w:hint="eastAsia" w:ascii="黑体" w:hAnsi="黑体" w:eastAsia="黑体" w:cs="Times New Roman"/>
          <w:b/>
          <w:bCs/>
          <w:sz w:val="28"/>
          <w:szCs w:val="28"/>
          <w:highlight w:val="none"/>
          <w:lang w:val="en-US" w:eastAsia="zh-CN"/>
        </w:rPr>
        <w:t>Fluorescence Characteristics of Materials</w:t>
      </w:r>
    </w:p>
    <w:p w14:paraId="5FB9DE53">
      <w:pPr>
        <w:spacing w:line="700" w:lineRule="exact"/>
        <w:rPr>
          <w:rFonts w:hint="eastAsia" w:ascii="黑体" w:hAnsi="黑体" w:eastAsia="黑体"/>
          <w:b/>
          <w:bCs/>
          <w:color w:val="0000FF"/>
          <w:sz w:val="28"/>
          <w:szCs w:val="28"/>
          <w:highlight w:val="none"/>
        </w:rPr>
      </w:pPr>
      <w:r>
        <w:rPr>
          <w:sz w:val="28"/>
          <w:highlight w:val="none"/>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331470</wp:posOffset>
                </wp:positionV>
                <wp:extent cx="5805170" cy="0"/>
                <wp:effectExtent l="0" t="9525" r="11430" b="15875"/>
                <wp:wrapNone/>
                <wp:docPr id="2" name="直线 4"/>
                <wp:cNvGraphicFramePr/>
                <a:graphic xmlns:a="http://schemas.openxmlformats.org/drawingml/2006/main">
                  <a:graphicData uri="http://schemas.microsoft.com/office/word/2010/wordprocessingShape">
                    <wps:wsp>
                      <wps:cNvCnPr/>
                      <wps:spPr>
                        <a:xfrm>
                          <a:off x="0" y="0"/>
                          <a:ext cx="580517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1.5pt;margin-top:26.1pt;height:0pt;width:457.1pt;z-index:251660288;mso-width-relative:page;mso-height-relative:page;" filled="f" stroked="t" coordsize="21600,21600" o:gfxdata="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aN237VAAAA&#10;CAEAAA8AAAAAAAAAAQAgAAAAIgAAAGRycy9kb3ducmV2LnhtbFBLAQIUABQAAAAIAIdO4kAbGde5&#10;5wEAANwDAAAOAAAAAAAAAAEAIAAAACQBAABkcnMvZTJvRG9jLnhtbFBLBQYAAAAABgAGAFkBAAB9&#10;BQAAAAA=&#10;">
                <v:fill on="f" focussize="0,0"/>
                <v:stroke weight="1.5pt" color="#000000" joinstyle="round"/>
                <v:imagedata o:title=""/>
                <o:lock v:ext="edit" aspectratio="f"/>
              </v:line>
            </w:pict>
          </mc:Fallback>
        </mc:AlternateContent>
      </w:r>
    </w:p>
    <w:p w14:paraId="2EA17CD0">
      <w:pPr>
        <w:rPr>
          <w:rFonts w:eastAsia="方正大标宋简体"/>
          <w:sz w:val="28"/>
          <w:highlight w:val="none"/>
        </w:rPr>
      </w:pPr>
    </w:p>
    <w:p w14:paraId="53EB224A">
      <w:pPr>
        <w:ind w:left="-2" w:leftChars="-161" w:hanging="336" w:hangingChars="120"/>
        <w:rPr>
          <w:rFonts w:hint="eastAsia" w:eastAsia="方正大标宋简体"/>
          <w:spacing w:val="6"/>
          <w:sz w:val="28"/>
          <w:highlight w:val="none"/>
        </w:rPr>
      </w:pPr>
      <w:r>
        <w:rPr>
          <w:rFonts w:hint="eastAsia" w:eastAsia="方正大标宋简体"/>
          <w:sz w:val="28"/>
          <w:highlight w:val="none"/>
        </w:rPr>
        <w:t xml:space="preserve">      </w:t>
      </w:r>
    </w:p>
    <w:p w14:paraId="4515EBB9">
      <w:pPr>
        <w:rPr>
          <w:rFonts w:hint="eastAsia" w:eastAsia="方正大标宋简体"/>
          <w:sz w:val="24"/>
          <w:highlight w:val="none"/>
        </w:rPr>
      </w:pPr>
    </w:p>
    <w:p w14:paraId="796B8D93">
      <w:pPr>
        <w:rPr>
          <w:rFonts w:hint="eastAsia" w:eastAsia="方正大标宋简体"/>
          <w:sz w:val="24"/>
          <w:highlight w:val="none"/>
        </w:rPr>
      </w:pPr>
    </w:p>
    <w:p w14:paraId="461988F1">
      <w:pPr>
        <w:rPr>
          <w:rFonts w:hint="eastAsia" w:eastAsia="方正大标宋简体"/>
          <w:sz w:val="24"/>
          <w:highlight w:val="none"/>
        </w:rPr>
      </w:pPr>
    </w:p>
    <w:p w14:paraId="69BA9EFF">
      <w:pPr>
        <w:rPr>
          <w:rFonts w:hint="eastAsia" w:eastAsia="方正大标宋简体"/>
          <w:sz w:val="24"/>
          <w:highlight w:val="none"/>
        </w:rPr>
      </w:pPr>
    </w:p>
    <w:p w14:paraId="333A2503">
      <w:pPr>
        <w:rPr>
          <w:rFonts w:hint="eastAsia" w:eastAsia="方正大标宋简体"/>
          <w:sz w:val="24"/>
          <w:highlight w:val="none"/>
        </w:rPr>
      </w:pPr>
    </w:p>
    <w:p w14:paraId="273EB364">
      <w:pPr>
        <w:rPr>
          <w:rFonts w:hint="eastAsia" w:eastAsia="方正大标宋简体"/>
          <w:sz w:val="24"/>
          <w:highlight w:val="none"/>
        </w:rPr>
      </w:pPr>
    </w:p>
    <w:p w14:paraId="68E07F2B">
      <w:pPr>
        <w:rPr>
          <w:rFonts w:hint="eastAsia" w:eastAsia="方正大标宋简体"/>
          <w:sz w:val="24"/>
          <w:highlight w:val="none"/>
        </w:rPr>
      </w:pPr>
    </w:p>
    <w:p w14:paraId="6B3ECFED">
      <w:pPr>
        <w:rPr>
          <w:rFonts w:hint="eastAsia" w:eastAsia="方正大标宋简体"/>
          <w:sz w:val="24"/>
          <w:highlight w:val="none"/>
        </w:rPr>
      </w:pPr>
    </w:p>
    <w:p w14:paraId="6F471F7B">
      <w:pPr>
        <w:rPr>
          <w:rFonts w:hint="eastAsia" w:eastAsia="方正大标宋简体"/>
          <w:sz w:val="24"/>
          <w:highlight w:val="none"/>
        </w:rPr>
      </w:pPr>
    </w:p>
    <w:p w14:paraId="6B1F1B94">
      <w:pPr>
        <w:rPr>
          <w:rFonts w:hint="eastAsia" w:eastAsia="方正大标宋简体"/>
          <w:sz w:val="24"/>
          <w:highlight w:val="none"/>
        </w:rPr>
      </w:pPr>
    </w:p>
    <w:p w14:paraId="4AFE619B">
      <w:pPr>
        <w:ind w:firstLine="1260" w:firstLineChars="450"/>
        <w:rPr>
          <w:rFonts w:hint="eastAsia" w:ascii="黑体" w:hAnsi="黑体" w:eastAsia="黑体"/>
          <w:color w:val="000000"/>
          <w:sz w:val="28"/>
          <w:highlight w:val="none"/>
        </w:rPr>
      </w:pPr>
      <w:r>
        <w:rPr>
          <w:rFonts w:hint="eastAsia" w:ascii="黑体" w:eastAsia="黑体"/>
          <w:sz w:val="28"/>
          <w:highlight w:val="none"/>
        </w:rPr>
        <w:t>归</w:t>
      </w:r>
      <w:r>
        <w:rPr>
          <w:rFonts w:hint="eastAsia" w:ascii="黑体" w:eastAsia="黑体"/>
          <w:sz w:val="18"/>
          <w:szCs w:val="18"/>
          <w:highlight w:val="none"/>
        </w:rPr>
        <w:t xml:space="preserve">  </w:t>
      </w:r>
      <w:r>
        <w:rPr>
          <w:rFonts w:hint="eastAsia" w:ascii="黑体" w:eastAsia="黑体"/>
          <w:sz w:val="28"/>
          <w:highlight w:val="none"/>
        </w:rPr>
        <w:t>口</w:t>
      </w:r>
      <w:r>
        <w:rPr>
          <w:rFonts w:hint="eastAsia" w:ascii="黑体" w:eastAsia="黑体"/>
          <w:sz w:val="18"/>
          <w:szCs w:val="18"/>
          <w:highlight w:val="none"/>
        </w:rPr>
        <w:t xml:space="preserve">  </w:t>
      </w:r>
      <w:r>
        <w:rPr>
          <w:rFonts w:hint="eastAsia" w:ascii="黑体" w:eastAsia="黑体"/>
          <w:sz w:val="28"/>
          <w:highlight w:val="none"/>
        </w:rPr>
        <w:t>单</w:t>
      </w:r>
      <w:r>
        <w:rPr>
          <w:rFonts w:hint="eastAsia" w:ascii="黑体" w:eastAsia="黑体"/>
          <w:sz w:val="18"/>
          <w:szCs w:val="18"/>
          <w:highlight w:val="none"/>
        </w:rPr>
        <w:t xml:space="preserve">  </w:t>
      </w:r>
      <w:r>
        <w:rPr>
          <w:rFonts w:hint="eastAsia" w:ascii="黑体" w:eastAsia="黑体"/>
          <w:sz w:val="28"/>
          <w:highlight w:val="none"/>
        </w:rPr>
        <w:t>位</w:t>
      </w:r>
      <w:r>
        <w:rPr>
          <w:rFonts w:hint="eastAsia" w:ascii="黑体" w:eastAsia="黑体"/>
          <w:bCs/>
          <w:sz w:val="28"/>
          <w:highlight w:val="none"/>
        </w:rPr>
        <w:t>：</w:t>
      </w:r>
      <w:r>
        <w:rPr>
          <w:rFonts w:hint="eastAsia" w:ascii="宋体" w:hAnsi="宋体" w:eastAsia="宋体" w:cs="宋体"/>
          <w:color w:val="000000"/>
          <w:sz w:val="28"/>
          <w:highlight w:val="none"/>
        </w:rPr>
        <w:t>全国</w:t>
      </w:r>
      <w:r>
        <w:rPr>
          <w:rFonts w:hint="eastAsia" w:ascii="宋体" w:hAnsi="宋体" w:eastAsia="宋体" w:cs="宋体"/>
          <w:color w:val="000000"/>
          <w:sz w:val="28"/>
          <w:highlight w:val="none"/>
          <w:lang w:val="en-US" w:eastAsia="zh-CN"/>
        </w:rPr>
        <w:t>新材料与纳米</w:t>
      </w:r>
      <w:r>
        <w:rPr>
          <w:rFonts w:hint="eastAsia" w:ascii="宋体" w:hAnsi="宋体" w:eastAsia="宋体" w:cs="宋体"/>
          <w:color w:val="000000"/>
          <w:sz w:val="28"/>
          <w:highlight w:val="none"/>
        </w:rPr>
        <w:t>计量技术委员会</w:t>
      </w:r>
    </w:p>
    <w:p w14:paraId="0EF7D35C">
      <w:pPr>
        <w:ind w:firstLine="1260" w:firstLineChars="450"/>
        <w:rPr>
          <w:rFonts w:hint="eastAsia" w:ascii="宋体" w:hAnsi="宋体" w:eastAsia="宋体" w:cs="宋体"/>
          <w:color w:val="000000"/>
          <w:sz w:val="28"/>
          <w:highlight w:val="none"/>
          <w:lang w:val="en-US" w:eastAsia="zh-CN"/>
        </w:rPr>
      </w:pPr>
      <w:r>
        <w:rPr>
          <w:rFonts w:hint="eastAsia" w:ascii="黑体" w:hAnsi="黑体" w:eastAsia="黑体"/>
          <w:color w:val="000000"/>
          <w:sz w:val="28"/>
          <w:highlight w:val="none"/>
        </w:rPr>
        <w:t>主要起草单位：</w:t>
      </w:r>
    </w:p>
    <w:p w14:paraId="63951D42">
      <w:pPr>
        <w:ind w:firstLine="1260" w:firstLineChars="450"/>
        <w:rPr>
          <w:rFonts w:hint="default" w:ascii="黑体" w:hAnsi="黑体" w:eastAsia="黑体"/>
          <w:color w:val="000000"/>
          <w:sz w:val="28"/>
          <w:highlight w:val="none"/>
          <w:lang w:val="en-US" w:eastAsia="zh-CN"/>
        </w:rPr>
      </w:pPr>
      <w:r>
        <w:rPr>
          <w:rFonts w:hint="eastAsia" w:ascii="宋体" w:hAnsi="宋体" w:eastAsia="宋体" w:cs="宋体"/>
          <w:color w:val="000000"/>
          <w:sz w:val="28"/>
          <w:highlight w:val="none"/>
        </w:rPr>
        <w:t xml:space="preserve">              </w:t>
      </w:r>
    </w:p>
    <w:p w14:paraId="2C172F22">
      <w:pPr>
        <w:ind w:firstLine="1260" w:firstLineChars="450"/>
        <w:rPr>
          <w:rFonts w:hint="default" w:ascii="黑体" w:hAnsi="黑体" w:eastAsia="黑体"/>
          <w:color w:val="000000"/>
          <w:sz w:val="28"/>
          <w:highlight w:val="none"/>
          <w:lang w:val="en-US" w:eastAsia="zh-CN"/>
        </w:rPr>
      </w:pPr>
      <w:r>
        <w:rPr>
          <w:rFonts w:hint="eastAsia" w:ascii="黑体" w:hAnsi="黑体" w:eastAsia="黑体"/>
          <w:color w:val="000000"/>
          <w:sz w:val="28"/>
          <w:highlight w:val="none"/>
        </w:rPr>
        <w:t>参加起草单位：</w:t>
      </w:r>
    </w:p>
    <w:p w14:paraId="195D3E42">
      <w:pPr>
        <w:ind w:firstLine="1260" w:firstLineChars="450"/>
        <w:rPr>
          <w:rFonts w:hint="eastAsia" w:ascii="黑体" w:hAnsi="黑体" w:eastAsia="黑体"/>
          <w:color w:val="FFC000"/>
          <w:sz w:val="28"/>
          <w:highlight w:val="none"/>
        </w:rPr>
      </w:pPr>
      <w:r>
        <w:rPr>
          <w:rFonts w:hint="eastAsia" w:ascii="黑体" w:hAnsi="黑体" w:eastAsia="黑体"/>
          <w:color w:val="000000"/>
          <w:sz w:val="28"/>
          <w:highlight w:val="none"/>
        </w:rPr>
        <w:t xml:space="preserve">              </w:t>
      </w:r>
    </w:p>
    <w:p w14:paraId="73F769A4">
      <w:pPr>
        <w:ind w:firstLine="1260" w:firstLineChars="450"/>
        <w:rPr>
          <w:rFonts w:hint="eastAsia" w:eastAsia="方正大标宋简体"/>
          <w:sz w:val="24"/>
          <w:highlight w:val="none"/>
        </w:rPr>
      </w:pPr>
      <w:r>
        <w:rPr>
          <w:rFonts w:hint="eastAsia" w:ascii="宋体" w:hAnsi="宋体"/>
          <w:sz w:val="28"/>
          <w:highlight w:val="none"/>
        </w:rPr>
        <w:t xml:space="preserve">                       </w:t>
      </w:r>
    </w:p>
    <w:p w14:paraId="1310F21B">
      <w:pPr>
        <w:rPr>
          <w:rFonts w:hint="eastAsia" w:eastAsia="方正大标宋简体"/>
          <w:sz w:val="24"/>
          <w:highlight w:val="none"/>
        </w:rPr>
      </w:pPr>
    </w:p>
    <w:p w14:paraId="09ED3351">
      <w:pPr>
        <w:rPr>
          <w:rFonts w:hint="eastAsia" w:eastAsia="方正大标宋简体"/>
          <w:sz w:val="24"/>
          <w:highlight w:val="none"/>
        </w:rPr>
      </w:pPr>
    </w:p>
    <w:p w14:paraId="7E146DA6">
      <w:pPr>
        <w:rPr>
          <w:rFonts w:hint="eastAsia" w:eastAsia="方正大标宋简体"/>
          <w:sz w:val="24"/>
          <w:highlight w:val="none"/>
        </w:rPr>
      </w:pPr>
    </w:p>
    <w:p w14:paraId="35CD333D">
      <w:pPr>
        <w:spacing w:line="500" w:lineRule="exact"/>
        <w:jc w:val="center"/>
        <w:rPr>
          <w:rFonts w:hint="eastAsia" w:ascii="宋体" w:hAnsi="宋体"/>
          <w:sz w:val="28"/>
          <w:highlight w:val="none"/>
        </w:rPr>
      </w:pPr>
    </w:p>
    <w:p w14:paraId="01E0577B">
      <w:pPr>
        <w:spacing w:line="500" w:lineRule="exact"/>
        <w:jc w:val="center"/>
        <w:rPr>
          <w:rFonts w:hint="eastAsia" w:ascii="宋体" w:hAnsi="宋体"/>
          <w:sz w:val="28"/>
          <w:highlight w:val="none"/>
        </w:rPr>
      </w:pPr>
    </w:p>
    <w:p w14:paraId="1EC4EE58">
      <w:pPr>
        <w:spacing w:line="500" w:lineRule="exact"/>
        <w:jc w:val="center"/>
        <w:rPr>
          <w:rFonts w:hint="eastAsia" w:ascii="宋体" w:hAnsi="宋体"/>
          <w:sz w:val="28"/>
          <w:highlight w:val="none"/>
        </w:rPr>
      </w:pPr>
      <w:r>
        <w:rPr>
          <w:rFonts w:hint="eastAsia" w:ascii="宋体" w:hAnsi="宋体"/>
          <w:sz w:val="28"/>
          <w:highlight w:val="none"/>
        </w:rPr>
        <w:t>本规范委托全国</w:t>
      </w:r>
      <w:r>
        <w:rPr>
          <w:rFonts w:hint="eastAsia" w:ascii="宋体" w:hAnsi="宋体"/>
          <w:sz w:val="28"/>
          <w:highlight w:val="none"/>
          <w:lang w:val="en-US" w:eastAsia="zh-CN"/>
        </w:rPr>
        <w:t>新材料与纳米</w:t>
      </w:r>
      <w:r>
        <w:rPr>
          <w:rFonts w:hint="eastAsia" w:ascii="宋体" w:hAnsi="宋体"/>
          <w:sz w:val="28"/>
          <w:highlight w:val="none"/>
        </w:rPr>
        <w:t>计量技术委员会负责解释</w:t>
      </w:r>
    </w:p>
    <w:p w14:paraId="0C781D78">
      <w:pPr>
        <w:ind w:firstLine="570"/>
        <w:jc w:val="left"/>
        <w:outlineLvl w:val="0"/>
        <w:rPr>
          <w:rFonts w:hint="eastAsia" w:eastAsia="黑体" w:cs="黑体"/>
          <w:sz w:val="28"/>
          <w:szCs w:val="28"/>
          <w:highlight w:val="none"/>
        </w:rPr>
      </w:pPr>
      <w:bookmarkStart w:id="9" w:name="_Toc101281454"/>
      <w:bookmarkStart w:id="10" w:name="_Toc89184070"/>
      <w:bookmarkStart w:id="11" w:name="_Toc101442444"/>
    </w:p>
    <w:p w14:paraId="510C44A2">
      <w:pPr>
        <w:ind w:firstLine="570"/>
        <w:jc w:val="left"/>
        <w:outlineLvl w:val="0"/>
        <w:rPr>
          <w:rFonts w:hint="eastAsia" w:eastAsia="黑体" w:cs="黑体"/>
          <w:sz w:val="28"/>
          <w:szCs w:val="28"/>
          <w:highlight w:val="none"/>
        </w:rPr>
      </w:pPr>
    </w:p>
    <w:p w14:paraId="0A07AEA8">
      <w:pPr>
        <w:ind w:firstLine="570"/>
        <w:jc w:val="left"/>
        <w:outlineLvl w:val="0"/>
        <w:rPr>
          <w:rFonts w:hint="eastAsia" w:eastAsia="黑体" w:cs="黑体"/>
          <w:sz w:val="28"/>
          <w:szCs w:val="28"/>
          <w:highlight w:val="none"/>
        </w:rPr>
      </w:pPr>
    </w:p>
    <w:p w14:paraId="540E9E7F">
      <w:pPr>
        <w:ind w:firstLine="570"/>
        <w:jc w:val="left"/>
        <w:outlineLvl w:val="9"/>
        <w:rPr>
          <w:rFonts w:hint="default" w:eastAsia="宋体"/>
          <w:b/>
          <w:bCs/>
          <w:sz w:val="28"/>
          <w:szCs w:val="28"/>
          <w:highlight w:val="none"/>
          <w:lang w:val="en-US" w:eastAsia="zh-CN"/>
        </w:rPr>
      </w:pPr>
      <w:bookmarkStart w:id="12" w:name="_Toc21565"/>
      <w:r>
        <w:rPr>
          <w:rFonts w:hint="eastAsia" w:eastAsia="黑体" w:cs="黑体"/>
          <w:sz w:val="28"/>
          <w:szCs w:val="28"/>
          <w:highlight w:val="none"/>
        </w:rPr>
        <w:t>本规范主要起草人</w:t>
      </w:r>
      <w:r>
        <w:rPr>
          <w:rFonts w:hint="eastAsia" w:cs="宋体"/>
          <w:b/>
          <w:bCs/>
          <w:sz w:val="28"/>
          <w:szCs w:val="28"/>
          <w:highlight w:val="none"/>
        </w:rPr>
        <w:t>：</w:t>
      </w:r>
      <w:bookmarkEnd w:id="7"/>
      <w:bookmarkEnd w:id="8"/>
      <w:bookmarkEnd w:id="9"/>
      <w:bookmarkEnd w:id="10"/>
      <w:bookmarkEnd w:id="11"/>
      <w:bookmarkEnd w:id="12"/>
    </w:p>
    <w:p w14:paraId="7FFA08CD">
      <w:pPr>
        <w:ind w:firstLine="570"/>
        <w:jc w:val="left"/>
        <w:outlineLvl w:val="9"/>
        <w:rPr>
          <w:rFonts w:hint="eastAsia" w:cs="宋体"/>
          <w:b w:val="0"/>
          <w:bCs w:val="0"/>
          <w:sz w:val="28"/>
          <w:szCs w:val="28"/>
          <w:highlight w:val="none"/>
          <w:lang w:val="en-US" w:eastAsia="zh-CN"/>
        </w:rPr>
      </w:pPr>
      <w:r>
        <w:rPr>
          <w:b w:val="0"/>
          <w:bCs w:val="0"/>
          <w:sz w:val="28"/>
          <w:szCs w:val="28"/>
          <w:highlight w:val="none"/>
        </w:rPr>
        <w:t xml:space="preserve">      </w:t>
      </w:r>
      <w:bookmarkStart w:id="13" w:name="_Toc26250"/>
      <w:r>
        <w:rPr>
          <w:rFonts w:hint="eastAsia"/>
          <w:b w:val="0"/>
          <w:bCs w:val="0"/>
          <w:sz w:val="28"/>
          <w:szCs w:val="28"/>
          <w:highlight w:val="none"/>
          <w:lang w:val="en-US" w:eastAsia="zh-CN"/>
        </w:rPr>
        <w:t xml:space="preserve">    </w:t>
      </w:r>
      <w:bookmarkEnd w:id="13"/>
    </w:p>
    <w:p w14:paraId="39D0ACAF">
      <w:pPr>
        <w:ind w:firstLine="1960" w:firstLineChars="700"/>
        <w:jc w:val="left"/>
        <w:outlineLvl w:val="9"/>
        <w:rPr>
          <w:rFonts w:eastAsia="黑体"/>
          <w:b w:val="0"/>
          <w:bCs w:val="0"/>
          <w:sz w:val="28"/>
          <w:szCs w:val="28"/>
          <w:highlight w:val="none"/>
        </w:rPr>
      </w:pPr>
      <w:bookmarkStart w:id="14" w:name="_Toc12699"/>
    </w:p>
    <w:bookmarkEnd w:id="14"/>
    <w:p w14:paraId="1B452010">
      <w:pPr>
        <w:ind w:firstLine="570"/>
        <w:jc w:val="left"/>
        <w:outlineLvl w:val="9"/>
        <w:rPr>
          <w:sz w:val="28"/>
          <w:szCs w:val="28"/>
          <w:highlight w:val="none"/>
        </w:rPr>
      </w:pPr>
      <w:r>
        <w:rPr>
          <w:rFonts w:hint="eastAsia" w:eastAsia="黑体"/>
          <w:b w:val="0"/>
          <w:bCs w:val="0"/>
          <w:sz w:val="28"/>
          <w:szCs w:val="28"/>
          <w:highlight w:val="none"/>
        </w:rPr>
        <w:t xml:space="preserve">      </w:t>
      </w:r>
      <w:bookmarkStart w:id="15" w:name="_Toc13553"/>
      <w:r>
        <w:rPr>
          <w:rFonts w:hint="eastAsia" w:eastAsia="黑体"/>
          <w:b w:val="0"/>
          <w:bCs w:val="0"/>
          <w:sz w:val="28"/>
          <w:szCs w:val="28"/>
          <w:highlight w:val="none"/>
          <w:lang w:val="en-US" w:eastAsia="zh-CN"/>
        </w:rPr>
        <w:t xml:space="preserve">    </w:t>
      </w:r>
      <w:bookmarkEnd w:id="15"/>
    </w:p>
    <w:p w14:paraId="04EB2717">
      <w:pPr>
        <w:ind w:firstLine="570"/>
        <w:jc w:val="left"/>
        <w:outlineLvl w:val="9"/>
        <w:rPr>
          <w:rFonts w:hint="eastAsia" w:eastAsia="黑体" w:cs="黑体"/>
          <w:sz w:val="28"/>
          <w:szCs w:val="28"/>
          <w:highlight w:val="none"/>
        </w:rPr>
      </w:pPr>
      <w:r>
        <w:rPr>
          <w:sz w:val="28"/>
          <w:szCs w:val="28"/>
          <w:highlight w:val="none"/>
        </w:rPr>
        <w:t xml:space="preserve">  </w:t>
      </w:r>
      <w:bookmarkStart w:id="16" w:name="_Toc101281458"/>
      <w:bookmarkStart w:id="17" w:name="_Toc32261"/>
      <w:bookmarkStart w:id="18" w:name="_Toc511320451"/>
      <w:bookmarkStart w:id="19" w:name="_Toc101442448"/>
      <w:bookmarkStart w:id="20" w:name="_Toc89184071"/>
      <w:bookmarkStart w:id="21" w:name="_Toc511311518"/>
      <w:r>
        <w:rPr>
          <w:rFonts w:hint="eastAsia"/>
          <w:sz w:val="28"/>
          <w:szCs w:val="28"/>
          <w:highlight w:val="none"/>
          <w:lang w:val="en-US" w:eastAsia="zh-CN"/>
        </w:rPr>
        <w:t xml:space="preserve">    </w:t>
      </w:r>
      <w:r>
        <w:rPr>
          <w:rFonts w:hint="eastAsia" w:eastAsia="黑体" w:cs="黑体"/>
          <w:sz w:val="28"/>
          <w:szCs w:val="28"/>
          <w:highlight w:val="none"/>
        </w:rPr>
        <w:t>参加起草人：</w:t>
      </w:r>
      <w:bookmarkEnd w:id="16"/>
      <w:bookmarkEnd w:id="17"/>
      <w:bookmarkEnd w:id="18"/>
      <w:bookmarkEnd w:id="19"/>
      <w:bookmarkEnd w:id="20"/>
      <w:bookmarkEnd w:id="21"/>
    </w:p>
    <w:p w14:paraId="1C245537">
      <w:pPr>
        <w:spacing w:line="360" w:lineRule="auto"/>
        <w:ind w:firstLine="1960" w:firstLineChars="700"/>
        <w:rPr>
          <w:color w:val="000000"/>
          <w:sz w:val="28"/>
          <w:highlight w:val="none"/>
        </w:rPr>
      </w:pPr>
    </w:p>
    <w:p w14:paraId="5131E3C0">
      <w:pPr>
        <w:ind w:firstLine="570"/>
        <w:jc w:val="left"/>
        <w:outlineLvl w:val="9"/>
        <w:rPr>
          <w:rFonts w:hint="eastAsia" w:eastAsia="黑体" w:cs="黑体"/>
          <w:sz w:val="28"/>
          <w:szCs w:val="28"/>
          <w:highlight w:val="none"/>
        </w:rPr>
      </w:pPr>
      <w:bookmarkStart w:id="80" w:name="_GoBack"/>
      <w:bookmarkEnd w:id="80"/>
    </w:p>
    <w:p w14:paraId="16DE3DCB">
      <w:pPr>
        <w:ind w:firstLine="570"/>
        <w:jc w:val="left"/>
        <w:outlineLvl w:val="9"/>
        <w:rPr>
          <w:rFonts w:hint="eastAsia" w:eastAsia="黑体"/>
          <w:sz w:val="28"/>
          <w:szCs w:val="28"/>
          <w:highlight w:val="none"/>
        </w:rPr>
      </w:pPr>
      <w:r>
        <w:rPr>
          <w:sz w:val="28"/>
          <w:szCs w:val="28"/>
          <w:highlight w:val="none"/>
        </w:rPr>
        <w:t xml:space="preserve">       </w:t>
      </w:r>
    </w:p>
    <w:p w14:paraId="78CE7990">
      <w:pPr>
        <w:ind w:firstLine="570"/>
        <w:jc w:val="left"/>
        <w:outlineLvl w:val="9"/>
        <w:rPr>
          <w:rFonts w:eastAsia="黑体"/>
          <w:color w:val="FFC000"/>
          <w:sz w:val="28"/>
          <w:szCs w:val="28"/>
          <w:highlight w:val="none"/>
        </w:rPr>
      </w:pPr>
      <w:r>
        <w:rPr>
          <w:rFonts w:hint="eastAsia" w:eastAsia="黑体"/>
          <w:sz w:val="28"/>
          <w:szCs w:val="28"/>
          <w:highlight w:val="none"/>
        </w:rPr>
        <w:t xml:space="preserve">       </w:t>
      </w:r>
    </w:p>
    <w:p w14:paraId="2F96BDB9">
      <w:pPr>
        <w:ind w:firstLine="570"/>
        <w:jc w:val="center"/>
        <w:rPr>
          <w:sz w:val="28"/>
          <w:szCs w:val="28"/>
          <w:highlight w:val="none"/>
        </w:rPr>
      </w:pPr>
    </w:p>
    <w:p w14:paraId="112642B9">
      <w:pPr>
        <w:ind w:firstLine="570"/>
        <w:jc w:val="center"/>
        <w:rPr>
          <w:sz w:val="28"/>
          <w:szCs w:val="28"/>
          <w:highlight w:val="none"/>
        </w:rPr>
      </w:pPr>
    </w:p>
    <w:p w14:paraId="38846754">
      <w:pPr>
        <w:ind w:firstLine="570"/>
        <w:jc w:val="center"/>
        <w:rPr>
          <w:sz w:val="28"/>
          <w:szCs w:val="28"/>
          <w:highlight w:val="none"/>
        </w:rPr>
      </w:pPr>
    </w:p>
    <w:p w14:paraId="6E6E105E">
      <w:pPr>
        <w:ind w:firstLine="570"/>
        <w:jc w:val="center"/>
        <w:rPr>
          <w:sz w:val="28"/>
          <w:szCs w:val="28"/>
          <w:highlight w:val="none"/>
        </w:rPr>
      </w:pPr>
    </w:p>
    <w:p w14:paraId="40850FE4">
      <w:pPr>
        <w:ind w:firstLine="570"/>
        <w:jc w:val="center"/>
        <w:rPr>
          <w:sz w:val="28"/>
          <w:szCs w:val="28"/>
          <w:highlight w:val="none"/>
        </w:rPr>
      </w:pPr>
    </w:p>
    <w:p w14:paraId="6C37A908">
      <w:pPr>
        <w:ind w:firstLine="570"/>
        <w:jc w:val="center"/>
        <w:rPr>
          <w:rFonts w:hint="eastAsia"/>
          <w:sz w:val="28"/>
          <w:szCs w:val="28"/>
          <w:highlight w:val="none"/>
        </w:rPr>
      </w:pPr>
    </w:p>
    <w:p w14:paraId="0C15CD84">
      <w:pPr>
        <w:ind w:firstLine="570"/>
        <w:jc w:val="center"/>
        <w:rPr>
          <w:rFonts w:hint="eastAsia"/>
          <w:sz w:val="28"/>
          <w:szCs w:val="28"/>
          <w:highlight w:val="none"/>
        </w:rPr>
      </w:pPr>
    </w:p>
    <w:p w14:paraId="5011E466">
      <w:pPr>
        <w:ind w:firstLine="570"/>
        <w:jc w:val="center"/>
        <w:rPr>
          <w:rFonts w:hint="eastAsia"/>
          <w:sz w:val="28"/>
          <w:szCs w:val="28"/>
          <w:highlight w:val="none"/>
        </w:rPr>
      </w:pPr>
    </w:p>
    <w:p w14:paraId="02B1BBCF">
      <w:pPr>
        <w:ind w:firstLine="570"/>
        <w:jc w:val="center"/>
        <w:rPr>
          <w:rFonts w:hint="eastAsia"/>
          <w:sz w:val="28"/>
          <w:szCs w:val="28"/>
          <w:highlight w:val="none"/>
        </w:rPr>
      </w:pPr>
    </w:p>
    <w:p w14:paraId="7322FE9D">
      <w:pPr>
        <w:ind w:firstLine="570"/>
        <w:jc w:val="center"/>
        <w:rPr>
          <w:rFonts w:hint="eastAsia"/>
          <w:sz w:val="28"/>
          <w:szCs w:val="28"/>
          <w:highlight w:val="none"/>
        </w:rPr>
      </w:pPr>
    </w:p>
    <w:p w14:paraId="6361BC71">
      <w:pPr>
        <w:ind w:firstLine="570"/>
        <w:jc w:val="center"/>
        <w:rPr>
          <w:sz w:val="28"/>
          <w:szCs w:val="28"/>
          <w:highlight w:val="none"/>
        </w:rPr>
        <w:sectPr>
          <w:headerReference r:id="rId7" w:type="default"/>
          <w:footerReference r:id="rId8" w:type="default"/>
          <w:pgSz w:w="11906" w:h="16838"/>
          <w:pgMar w:top="1264" w:right="1418" w:bottom="1418" w:left="1418" w:header="851" w:footer="992" w:gutter="0"/>
          <w:pgNumType w:start="1"/>
          <w:cols w:space="720" w:num="1"/>
          <w:docGrid w:type="lines" w:linePitch="312" w:charSpace="0"/>
        </w:sectPr>
      </w:pPr>
    </w:p>
    <w:p w14:paraId="58ECC412">
      <w:pPr>
        <w:pStyle w:val="2"/>
        <w:keepNext/>
        <w:keepLines w:val="0"/>
        <w:pageBreakBefore w:val="0"/>
        <w:widowControl w:val="0"/>
        <w:kinsoku/>
        <w:wordWrap/>
        <w:overflowPunct/>
        <w:topLinePunct w:val="0"/>
        <w:autoSpaceDE/>
        <w:autoSpaceDN/>
        <w:bidi w:val="0"/>
        <w:adjustRightInd/>
        <w:snapToGrid/>
        <w:spacing w:before="313" w:beforeLines="100" w:after="313" w:afterLines="100"/>
        <w:ind w:firstLine="0" w:firstLineChars="0"/>
        <w:jc w:val="center"/>
        <w:textAlignment w:val="auto"/>
        <w:rPr>
          <w:rFonts w:ascii="Times New Roman" w:hAnsi="Times New Roman" w:eastAsia="宋体" w:cs="Times New Roman"/>
          <w:kern w:val="0"/>
          <w:sz w:val="24"/>
          <w:szCs w:val="20"/>
          <w:highlight w:val="none"/>
          <w:lang w:val="en-US" w:eastAsia="zh-CN" w:bidi="ar-SA"/>
        </w:rPr>
      </w:pPr>
      <w:bookmarkStart w:id="22" w:name="_Toc101281463"/>
      <w:bookmarkStart w:id="23" w:name="_Toc101442453"/>
      <w:bookmarkStart w:id="24" w:name="_Toc21067"/>
      <w:r>
        <w:rPr>
          <w:rFonts w:hint="eastAsia" w:ascii="Arial" w:hAnsi="Arial" w:eastAsia="黑体" w:cs="Arial"/>
          <w:bCs/>
          <w:kern w:val="2"/>
          <w:sz w:val="44"/>
          <w:szCs w:val="44"/>
          <w:highlight w:val="none"/>
          <w:lang w:val="en-US" w:eastAsia="zh-CN"/>
        </w:rPr>
        <w:t>目  录</w:t>
      </w:r>
      <w:bookmarkEnd w:id="22"/>
      <w:bookmarkEnd w:id="23"/>
      <w:bookmarkEnd w:id="24"/>
      <w:r>
        <w:rPr>
          <w:sz w:val="24"/>
          <w:highlight w:val="none"/>
        </w:rPr>
        <w:fldChar w:fldCharType="begin"/>
      </w:r>
      <w:r>
        <w:rPr>
          <w:sz w:val="24"/>
          <w:highlight w:val="none"/>
        </w:rPr>
        <w:instrText xml:space="preserve"> </w:instrText>
      </w:r>
      <w:r>
        <w:rPr>
          <w:rFonts w:hint="eastAsia"/>
          <w:sz w:val="24"/>
          <w:highlight w:val="none"/>
        </w:rPr>
        <w:instrText xml:space="preserve">TOC \o "1-2" \h \z \u</w:instrText>
      </w:r>
      <w:r>
        <w:rPr>
          <w:sz w:val="24"/>
          <w:highlight w:val="none"/>
        </w:rPr>
        <w:instrText xml:space="preserve"> </w:instrText>
      </w:r>
      <w:r>
        <w:rPr>
          <w:sz w:val="24"/>
          <w:highlight w:val="none"/>
        </w:rPr>
        <w:fldChar w:fldCharType="separate"/>
      </w:r>
    </w:p>
    <w:p w14:paraId="321E987A">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_Toc21067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lang w:val="en-US" w:eastAsia="zh-CN"/>
        </w:rPr>
        <w:t>目  录</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_Toc21067 \h </w:instrText>
      </w:r>
      <w:r>
        <w:rPr>
          <w:rFonts w:hint="eastAsia" w:ascii="宋体" w:hAnsi="宋体" w:eastAsia="宋体" w:cs="宋体"/>
          <w:sz w:val="24"/>
          <w:szCs w:val="24"/>
        </w:rPr>
        <w:fldChar w:fldCharType="separate"/>
      </w:r>
      <w:r>
        <w:rPr>
          <w:rFonts w:hint="eastAsia" w:ascii="宋体" w:hAnsi="宋体" w:eastAsia="宋体" w:cs="宋体"/>
          <w:sz w:val="24"/>
          <w:szCs w:val="24"/>
        </w:rPr>
        <w:t>I</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highlight w:val="none"/>
        </w:rPr>
        <w:fldChar w:fldCharType="end"/>
      </w:r>
    </w:p>
    <w:p w14:paraId="5632E6BB">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_Toc5841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 xml:space="preserve">引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言</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_Toc5841 \h </w:instrText>
      </w:r>
      <w:r>
        <w:rPr>
          <w:rFonts w:hint="eastAsia" w:ascii="宋体" w:hAnsi="宋体" w:eastAsia="宋体" w:cs="宋体"/>
          <w:sz w:val="24"/>
          <w:szCs w:val="24"/>
        </w:rPr>
        <w:fldChar w:fldCharType="separate"/>
      </w:r>
      <w:r>
        <w:rPr>
          <w:rFonts w:hint="eastAsia" w:ascii="宋体" w:hAnsi="宋体" w:eastAsia="宋体" w:cs="宋体"/>
          <w:sz w:val="24"/>
          <w:szCs w:val="24"/>
        </w:rPr>
        <w:t>II</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0D4E310F">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_Toc4282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范围</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_Toc4282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41F06E50">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_Toc14787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  引用文</w:t>
      </w:r>
      <w:r>
        <w:rPr>
          <w:rFonts w:hint="eastAsia" w:ascii="宋体" w:hAnsi="宋体" w:eastAsia="宋体" w:cs="宋体"/>
          <w:sz w:val="24"/>
          <w:szCs w:val="24"/>
          <w:highlight w:val="none"/>
          <w:lang w:eastAsia="zh-CN"/>
        </w:rPr>
        <w:t>件</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_Toc14787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32146190">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_Toc29390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val="en-US" w:eastAsia="zh-CN"/>
        </w:rPr>
        <w:t>术语和定义</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_Toc29390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0E16EF3B">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_Toc492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  概述</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_Toc492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7CD4F3F1">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_Toc25030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计量特性</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_Toc25030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2867129A">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_Toc9927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  校准条件</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_Toc9927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628C7243">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_Toc17795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.1  环境条件</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_Toc17795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19C87B19">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_Toc3520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val="en-US" w:eastAsia="zh-CN"/>
        </w:rPr>
        <w:t>测量标准及其他设备</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_Toc3520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0233147C">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_Toc16039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  校准项目和校准方法</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_Toc16039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6FD3C2E2">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_Toc27212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  校准前准备</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_Toc27212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53C1F778">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_Toc23235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  发射侧单色器波长</w:t>
      </w:r>
      <w:r>
        <w:rPr>
          <w:rFonts w:hint="eastAsia" w:ascii="宋体" w:hAnsi="宋体" w:eastAsia="宋体" w:cs="宋体"/>
          <w:sz w:val="24"/>
          <w:szCs w:val="24"/>
          <w:highlight w:val="none"/>
          <w:lang w:val="en-US" w:eastAsia="zh-CN"/>
        </w:rPr>
        <w:t>校准</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_Toc23235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1ACE1B38">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_Toc25566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rPr>
        <w:t xml:space="preserve">  荧光相对强度校准曲线</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_Toc25566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60106408">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_Toc23292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  荧光</w:t>
      </w:r>
      <w:r>
        <w:rPr>
          <w:rFonts w:hint="eastAsia" w:ascii="宋体" w:hAnsi="宋体" w:eastAsia="宋体" w:cs="宋体"/>
          <w:kern w:val="2"/>
          <w:sz w:val="24"/>
          <w:szCs w:val="24"/>
          <w:highlight w:val="none"/>
          <w:lang w:val="en-US" w:eastAsia="zh-CN"/>
        </w:rPr>
        <w:t>发射光谱的测量和校准</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_Toc23292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531DC004">
      <w:pPr>
        <w:pStyle w:val="1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_Toc6271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荧光发射光谱峰值波长</w:t>
      </w:r>
      <w:r>
        <w:rPr>
          <w:rFonts w:hint="eastAsia" w:ascii="宋体" w:hAnsi="宋体" w:eastAsia="宋体" w:cs="宋体"/>
          <w:sz w:val="24"/>
          <w:szCs w:val="24"/>
          <w:highlight w:val="none"/>
        </w:rPr>
        <w:t>的测量重复性</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_Toc6271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131A92B0">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_Toc18695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 xml:space="preserve">  校准结果表达</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_Toc18695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3B6CD2FC">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_Toc12753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 xml:space="preserve">  复校时间间隔</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_Toc12753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3E20A18A">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_Toc9298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附录A</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val="0"/>
          <w:sz w:val="24"/>
          <w:szCs w:val="24"/>
          <w:highlight w:val="none"/>
          <w:lang w:val="en-US" w:eastAsia="zh-CN"/>
        </w:rPr>
        <w:t>材料荧光特性校准结果的不确定度评定示例</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_Toc9298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2D122C4F">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_Toc31355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附录B</w:t>
      </w:r>
      <w:r>
        <w:rPr>
          <w:rFonts w:hint="eastAsia" w:ascii="宋体" w:hAnsi="宋体" w:eastAsia="宋体" w:cs="宋体"/>
          <w:sz w:val="24"/>
          <w:szCs w:val="24"/>
          <w:highlight w:val="none"/>
          <w:lang w:val="en-US" w:eastAsia="zh-CN"/>
        </w:rPr>
        <w:t xml:space="preserve"> </w:t>
      </w:r>
      <w:r>
        <w:rPr>
          <w:rFonts w:hint="eastAsia" w:ascii="宋体" w:hAnsi="宋体" w:eastAsia="宋体" w:cs="宋体"/>
          <w:bCs w:val="0"/>
          <w:sz w:val="24"/>
          <w:szCs w:val="24"/>
          <w:highlight w:val="none"/>
          <w:lang w:val="en-US" w:eastAsia="zh-CN"/>
        </w:rPr>
        <w:t>校准原始记录格式</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_Toc31355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7838D146">
      <w:pPr>
        <w:pStyle w:val="12"/>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_Toc23530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附录C</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校准证书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内页</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格式</w:t>
      </w:r>
      <w:r>
        <w:rPr>
          <w:rFonts w:hint="eastAsia" w:ascii="宋体" w:hAnsi="宋体" w:eastAsia="宋体" w:cs="宋体"/>
          <w:sz w:val="24"/>
          <w:szCs w:val="24"/>
        </w:rPr>
        <w:tab/>
      </w:r>
      <w:r>
        <w:rPr>
          <w:rFonts w:hint="eastAsia" w:ascii="宋体" w:hAnsi="宋体" w:eastAsia="宋体" w:cs="宋体"/>
          <w:sz w:val="24"/>
          <w:szCs w:val="24"/>
          <w:lang w:eastAsia="zh-CN"/>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_Toc23530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highlight w:val="none"/>
        </w:rPr>
        <w:fldChar w:fldCharType="end"/>
      </w:r>
      <w:r>
        <w:rPr>
          <w:rFonts w:hint="eastAsia" w:ascii="宋体" w:hAnsi="宋体" w:eastAsia="宋体" w:cs="宋体"/>
          <w:sz w:val="24"/>
          <w:szCs w:val="24"/>
          <w:lang w:eastAsia="zh-CN"/>
        </w:rPr>
        <w:t>）</w:t>
      </w:r>
    </w:p>
    <w:p w14:paraId="627D63CF">
      <w:pPr>
        <w:keepNext/>
        <w:keepLines w:val="0"/>
        <w:pageBreakBefore w:val="0"/>
        <w:widowControl w:val="0"/>
        <w:kinsoku/>
        <w:wordWrap/>
        <w:overflowPunct/>
        <w:topLinePunct w:val="0"/>
        <w:autoSpaceDE/>
        <w:autoSpaceDN/>
        <w:bidi w:val="0"/>
        <w:adjustRightInd/>
        <w:snapToGrid/>
        <w:spacing w:before="313" w:beforeLines="100" w:after="313" w:afterLines="100"/>
        <w:jc w:val="both"/>
        <w:textAlignment w:val="auto"/>
        <w:rPr>
          <w:rFonts w:hint="eastAsia"/>
          <w:sz w:val="24"/>
          <w:highlight w:val="none"/>
        </w:rPr>
      </w:pPr>
      <w:r>
        <w:rPr>
          <w:sz w:val="24"/>
          <w:highlight w:val="none"/>
        </w:rPr>
        <w:fldChar w:fldCharType="end"/>
      </w:r>
    </w:p>
    <w:p w14:paraId="11AE114E">
      <w:pPr>
        <w:ind w:firstLine="570"/>
        <w:jc w:val="center"/>
        <w:rPr>
          <w:rFonts w:hint="eastAsia"/>
          <w:sz w:val="24"/>
          <w:highlight w:val="none"/>
        </w:rPr>
      </w:pPr>
    </w:p>
    <w:p w14:paraId="38DB4DC8">
      <w:pPr>
        <w:ind w:firstLine="570"/>
        <w:jc w:val="center"/>
        <w:rPr>
          <w:rFonts w:hint="eastAsia"/>
          <w:sz w:val="24"/>
          <w:highlight w:val="none"/>
        </w:rPr>
      </w:pPr>
    </w:p>
    <w:p w14:paraId="0A20BC3D">
      <w:pPr>
        <w:ind w:firstLine="570"/>
        <w:jc w:val="center"/>
        <w:rPr>
          <w:rFonts w:hint="eastAsia"/>
          <w:sz w:val="28"/>
          <w:szCs w:val="28"/>
          <w:highlight w:val="none"/>
        </w:rPr>
      </w:pPr>
    </w:p>
    <w:p w14:paraId="16129B94">
      <w:pPr>
        <w:jc w:val="both"/>
        <w:rPr>
          <w:rFonts w:hint="eastAsia"/>
          <w:sz w:val="28"/>
          <w:szCs w:val="28"/>
          <w:highlight w:val="none"/>
        </w:rPr>
      </w:pPr>
    </w:p>
    <w:p w14:paraId="104462AC">
      <w:pPr>
        <w:ind w:firstLine="570"/>
        <w:jc w:val="center"/>
        <w:rPr>
          <w:rFonts w:hint="eastAsia"/>
          <w:sz w:val="28"/>
          <w:szCs w:val="28"/>
          <w:highlight w:val="none"/>
        </w:rPr>
        <w:sectPr>
          <w:headerReference r:id="rId9" w:type="default"/>
          <w:footerReference r:id="rId10" w:type="default"/>
          <w:pgSz w:w="11906" w:h="16838"/>
          <w:pgMar w:top="1264" w:right="1418" w:bottom="1418" w:left="1418" w:header="851" w:footer="992" w:gutter="0"/>
          <w:pgNumType w:fmt="upperRoman" w:start="1"/>
          <w:cols w:space="720" w:num="1"/>
          <w:docGrid w:type="lines" w:linePitch="312" w:charSpace="0"/>
        </w:sectPr>
      </w:pPr>
    </w:p>
    <w:p w14:paraId="07C1D195">
      <w:pPr>
        <w:keepNext w:val="0"/>
        <w:keepLines w:val="0"/>
        <w:pageBreakBefore w:val="0"/>
        <w:widowControl w:val="0"/>
        <w:kinsoku/>
        <w:wordWrap/>
        <w:overflowPunct/>
        <w:topLinePunct w:val="0"/>
        <w:autoSpaceDE w:val="0"/>
        <w:autoSpaceDN w:val="0"/>
        <w:bidi w:val="0"/>
        <w:adjustRightInd/>
        <w:snapToGrid/>
        <w:spacing w:before="313" w:beforeLines="100" w:after="313" w:afterLines="100"/>
        <w:jc w:val="center"/>
        <w:textAlignment w:val="auto"/>
        <w:outlineLvl w:val="0"/>
        <w:rPr>
          <w:sz w:val="24"/>
          <w:szCs w:val="24"/>
          <w:highlight w:val="none"/>
        </w:rPr>
      </w:pPr>
      <w:bookmarkStart w:id="25" w:name="_Toc54707737"/>
      <w:bookmarkStart w:id="26" w:name="_Toc5841"/>
      <w:r>
        <w:rPr>
          <w:rFonts w:hint="eastAsia" w:ascii="黑体" w:hAnsi="黑体" w:eastAsia="黑体"/>
          <w:color w:val="000000"/>
          <w:sz w:val="44"/>
          <w:szCs w:val="44"/>
          <w:highlight w:val="none"/>
        </w:rPr>
        <w:t xml:space="preserve">引 </w:t>
      </w:r>
      <w:r>
        <w:rPr>
          <w:rFonts w:hint="eastAsia" w:ascii="黑体" w:hAnsi="黑体" w:eastAsia="黑体"/>
          <w:color w:val="000000"/>
          <w:sz w:val="44"/>
          <w:szCs w:val="44"/>
          <w:highlight w:val="none"/>
          <w:lang w:val="en-US" w:eastAsia="zh-CN"/>
        </w:rPr>
        <w:t xml:space="preserve"> </w:t>
      </w:r>
      <w:r>
        <w:rPr>
          <w:rFonts w:hint="eastAsia" w:ascii="黑体" w:hAnsi="黑体" w:eastAsia="黑体"/>
          <w:color w:val="000000"/>
          <w:sz w:val="44"/>
          <w:szCs w:val="44"/>
          <w:highlight w:val="none"/>
        </w:rPr>
        <w:t>言</w:t>
      </w:r>
      <w:bookmarkEnd w:id="25"/>
      <w:bookmarkEnd w:id="26"/>
    </w:p>
    <w:p w14:paraId="156FED81">
      <w:pPr>
        <w:snapToGrid w:val="0"/>
        <w:spacing w:line="360" w:lineRule="auto"/>
        <w:ind w:firstLine="470" w:firstLineChars="196"/>
        <w:rPr>
          <w:rFonts w:ascii="宋体" w:hAnsi="宋体" w:cs="宋体"/>
          <w:sz w:val="24"/>
          <w:highlight w:val="none"/>
        </w:rPr>
      </w:pPr>
      <w:r>
        <w:rPr>
          <w:rFonts w:hint="eastAsia" w:ascii="宋体" w:hAnsi="宋体" w:cs="宋体"/>
          <w:color w:val="000000"/>
          <w:sz w:val="24"/>
          <w:highlight w:val="none"/>
        </w:rPr>
        <w:t>JJF 1071《国家计量校准规范编写规则》</w:t>
      </w:r>
      <w:r>
        <w:rPr>
          <w:rFonts w:hint="eastAsia" w:ascii="宋体" w:hAnsi="宋体" w:cs="宋体"/>
          <w:sz w:val="24"/>
          <w:highlight w:val="none"/>
        </w:rPr>
        <w:t>、JJF 1001《通用计量术语及定义》、</w:t>
      </w:r>
      <w:r>
        <w:rPr>
          <w:rFonts w:hint="eastAsia" w:ascii="宋体" w:hAnsi="宋体" w:cs="宋体"/>
          <w:color w:val="000000"/>
          <w:sz w:val="24"/>
          <w:highlight w:val="none"/>
        </w:rPr>
        <w:t>JJF 1059.1《测量不确定度评定与表示》和JJF 1094《测量仪器特性评定》共同构成支撑本规范制定工作的</w:t>
      </w:r>
      <w:r>
        <w:rPr>
          <w:rFonts w:hint="eastAsia" w:ascii="宋体" w:hAnsi="宋体" w:cs="宋体"/>
          <w:sz w:val="24"/>
          <w:highlight w:val="none"/>
        </w:rPr>
        <w:t>基础性系列规范。</w:t>
      </w:r>
    </w:p>
    <w:p w14:paraId="2098A09B">
      <w:pPr>
        <w:spacing w:line="360" w:lineRule="auto"/>
        <w:ind w:firstLine="480"/>
        <w:rPr>
          <w:sz w:val="24"/>
          <w:highlight w:val="none"/>
        </w:rPr>
      </w:pPr>
      <w:r>
        <w:rPr>
          <w:rFonts w:hint="eastAsia" w:ascii="宋体" w:hAnsi="宋体" w:cs="宋体"/>
          <w:sz w:val="24"/>
          <w:highlight w:val="none"/>
        </w:rPr>
        <w:t>本规范参考了JJG 537《荧光分光光度计》、GB/T 15489.6《</w:t>
      </w:r>
      <w:r>
        <w:rPr>
          <w:rFonts w:hint="eastAsia" w:ascii="宋体" w:hAnsi="宋体" w:cs="宋体"/>
          <w:sz w:val="24"/>
          <w:highlight w:val="none"/>
          <w:lang w:val="en-US" w:eastAsia="zh-CN"/>
        </w:rPr>
        <w:t>滤光玻璃测试方法 第6部分：荧光特性</w:t>
      </w:r>
      <w:r>
        <w:rPr>
          <w:rFonts w:hint="eastAsia" w:ascii="宋体" w:hAnsi="宋体" w:cs="宋体"/>
          <w:sz w:val="24"/>
          <w:highlight w:val="none"/>
        </w:rPr>
        <w:t>》的相关内容</w:t>
      </w:r>
      <w:r>
        <w:rPr>
          <w:rFonts w:hint="eastAsia"/>
          <w:sz w:val="24"/>
          <w:highlight w:val="none"/>
        </w:rPr>
        <w:t>。</w:t>
      </w:r>
    </w:p>
    <w:p w14:paraId="5FB94239">
      <w:pPr>
        <w:spacing w:line="400" w:lineRule="atLeast"/>
        <w:ind w:firstLine="480" w:firstLineChars="200"/>
        <w:rPr>
          <w:rFonts w:hint="eastAsia" w:eastAsia="宋体"/>
          <w:sz w:val="24"/>
          <w:szCs w:val="24"/>
          <w:highlight w:val="none"/>
          <w:lang w:val="en-US" w:eastAsia="zh-CN"/>
        </w:rPr>
        <w:sectPr>
          <w:pgSz w:w="11906" w:h="16838"/>
          <w:pgMar w:top="1440" w:right="1043" w:bottom="1440" w:left="1797" w:header="851" w:footer="992" w:gutter="0"/>
          <w:pgNumType w:fmt="upperRoman"/>
          <w:cols w:space="720" w:num="1"/>
          <w:docGrid w:type="linesAndChars" w:linePitch="312" w:charSpace="0"/>
        </w:sectPr>
      </w:pPr>
      <w:r>
        <w:rPr>
          <w:rFonts w:hAnsi="宋体"/>
          <w:color w:val="000000"/>
          <w:sz w:val="24"/>
          <w:highlight w:val="none"/>
        </w:rPr>
        <w:t>本规范为首次</w:t>
      </w:r>
      <w:r>
        <w:rPr>
          <w:rFonts w:hint="eastAsia" w:hAnsi="宋体"/>
          <w:color w:val="000000"/>
          <w:sz w:val="24"/>
          <w:highlight w:val="none"/>
          <w:lang w:eastAsia="zh-CN"/>
        </w:rPr>
        <w:t>。</w:t>
      </w:r>
    </w:p>
    <w:p w14:paraId="5EF411CB">
      <w:pPr>
        <w:rPr>
          <w:rFonts w:hint="eastAsia"/>
          <w:highlight w:val="none"/>
        </w:rPr>
      </w:pPr>
    </w:p>
    <w:p w14:paraId="5D2DCA18">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ascii="Arial" w:hAnsi="Arial" w:eastAsia="黑体"/>
          <w:b/>
          <w:bCs/>
          <w:sz w:val="32"/>
          <w:szCs w:val="32"/>
          <w:highlight w:val="none"/>
        </w:rPr>
      </w:pPr>
      <w:r>
        <w:rPr>
          <w:rFonts w:hint="eastAsia" w:ascii="黑体" w:hAnsi="黑体" w:eastAsia="黑体" w:cs="黑体"/>
          <w:b/>
          <w:bCs/>
          <w:sz w:val="32"/>
          <w:szCs w:val="32"/>
          <w:highlight w:val="none"/>
          <w:lang w:val="en-US" w:eastAsia="zh-CN"/>
        </w:rPr>
        <w:t>材料荧光特性校准规范</w:t>
      </w:r>
    </w:p>
    <w:p w14:paraId="6C2F2022">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eastAsia="黑体"/>
          <w:sz w:val="24"/>
          <w:szCs w:val="24"/>
          <w:highlight w:val="none"/>
        </w:rPr>
      </w:pPr>
      <w:bookmarkStart w:id="27" w:name="_Toc4282"/>
      <w:r>
        <w:rPr>
          <w:rFonts w:eastAsia="黑体"/>
          <w:sz w:val="24"/>
          <w:szCs w:val="24"/>
          <w:highlight w:val="none"/>
        </w:rPr>
        <w:t xml:space="preserve">1 </w:t>
      </w:r>
      <w:r>
        <w:rPr>
          <w:rFonts w:hint="eastAsia" w:eastAsia="黑体"/>
          <w:sz w:val="24"/>
          <w:szCs w:val="24"/>
          <w:highlight w:val="none"/>
          <w:lang w:val="en-US" w:eastAsia="zh-CN"/>
        </w:rPr>
        <w:t xml:space="preserve"> </w:t>
      </w:r>
      <w:r>
        <w:rPr>
          <w:rFonts w:hAnsi="黑体" w:eastAsia="黑体"/>
          <w:sz w:val="24"/>
          <w:szCs w:val="24"/>
          <w:highlight w:val="none"/>
        </w:rPr>
        <w:t>范围</w:t>
      </w:r>
      <w:bookmarkEnd w:id="27"/>
    </w:p>
    <w:p w14:paraId="47FB15B2">
      <w:pPr>
        <w:snapToGrid w:val="0"/>
        <w:spacing w:line="360" w:lineRule="auto"/>
        <w:ind w:left="2" w:leftChars="1" w:firstLine="470" w:firstLineChars="196"/>
        <w:rPr>
          <w:rFonts w:ascii="宋体" w:hAnsi="宋体"/>
          <w:color w:val="000000"/>
          <w:sz w:val="24"/>
          <w:highlight w:val="none"/>
        </w:rPr>
      </w:pPr>
      <w:r>
        <w:rPr>
          <w:rFonts w:hint="eastAsia" w:ascii="宋体" w:hAnsi="宋体"/>
          <w:color w:val="000000"/>
          <w:sz w:val="24"/>
          <w:highlight w:val="none"/>
        </w:rPr>
        <w:t>本规范适用于材料荧光特性</w:t>
      </w:r>
      <w:r>
        <w:rPr>
          <w:rFonts w:hint="eastAsia" w:ascii="宋体" w:hAnsi="宋体"/>
          <w:color w:val="000000"/>
          <w:sz w:val="24"/>
          <w:highlight w:val="none"/>
          <w:lang w:val="en-US" w:eastAsia="zh-CN"/>
        </w:rPr>
        <w:t>测量</w:t>
      </w:r>
      <w:r>
        <w:rPr>
          <w:rFonts w:hint="eastAsia" w:ascii="宋体" w:hAnsi="宋体"/>
          <w:color w:val="000000"/>
          <w:sz w:val="24"/>
          <w:highlight w:val="none"/>
        </w:rPr>
        <w:t>的校准。</w:t>
      </w:r>
    </w:p>
    <w:p w14:paraId="3BA283E6">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eastAsia="zh-CN"/>
        </w:rPr>
      </w:pPr>
      <w:bookmarkStart w:id="28" w:name="_Toc14787"/>
      <w:r>
        <w:rPr>
          <w:rFonts w:eastAsia="黑体" w:cs="Times New Roman"/>
          <w:sz w:val="24"/>
          <w:szCs w:val="24"/>
          <w:highlight w:val="none"/>
        </w:rPr>
        <w:t>2  引用文</w:t>
      </w:r>
      <w:r>
        <w:rPr>
          <w:rFonts w:hint="eastAsia" w:eastAsia="黑体" w:cs="Times New Roman"/>
          <w:sz w:val="24"/>
          <w:szCs w:val="24"/>
          <w:highlight w:val="none"/>
          <w:lang w:eastAsia="zh-CN"/>
        </w:rPr>
        <w:t>件</w:t>
      </w:r>
      <w:bookmarkEnd w:id="28"/>
    </w:p>
    <w:p w14:paraId="5597459D">
      <w:pPr>
        <w:spacing w:line="360" w:lineRule="auto"/>
        <w:ind w:firstLine="480"/>
        <w:rPr>
          <w:sz w:val="24"/>
          <w:highlight w:val="none"/>
        </w:rPr>
      </w:pPr>
      <w:r>
        <w:rPr>
          <w:rFonts w:hint="eastAsia"/>
          <w:sz w:val="24"/>
          <w:highlight w:val="none"/>
        </w:rPr>
        <w:t>本规范引用下列文件：</w:t>
      </w:r>
    </w:p>
    <w:p w14:paraId="2C49CF61">
      <w:pPr>
        <w:spacing w:line="360" w:lineRule="auto"/>
        <w:ind w:firstLine="480"/>
        <w:rPr>
          <w:rFonts w:ascii="宋体" w:hAnsi="宋体" w:cs="宋体"/>
          <w:sz w:val="24"/>
          <w:highlight w:val="none"/>
        </w:rPr>
      </w:pPr>
      <w:r>
        <w:rPr>
          <w:rFonts w:hint="eastAsia" w:ascii="宋体" w:hAnsi="宋体" w:cs="宋体"/>
          <w:sz w:val="24"/>
          <w:highlight w:val="none"/>
        </w:rPr>
        <w:t>JJG 537 荧光分光光度计</w:t>
      </w:r>
    </w:p>
    <w:p w14:paraId="2313A383">
      <w:pPr>
        <w:spacing w:line="360" w:lineRule="auto"/>
        <w:ind w:firstLine="480"/>
        <w:rPr>
          <w:rFonts w:hint="default" w:ascii="宋体" w:hAnsi="宋体" w:eastAsia="宋体" w:cs="宋体"/>
          <w:bCs/>
          <w:sz w:val="24"/>
          <w:highlight w:val="none"/>
          <w:lang w:val="en-US" w:eastAsia="zh-CN"/>
        </w:rPr>
      </w:pPr>
      <w:r>
        <w:rPr>
          <w:rFonts w:hint="eastAsia" w:ascii="宋体" w:hAnsi="宋体" w:cs="宋体"/>
          <w:sz w:val="24"/>
          <w:highlight w:val="none"/>
        </w:rPr>
        <w:t xml:space="preserve">GB/T 15489.6 </w:t>
      </w:r>
      <w:r>
        <w:rPr>
          <w:rFonts w:hint="eastAsia" w:ascii="宋体" w:hAnsi="宋体" w:cs="宋体"/>
          <w:sz w:val="24"/>
          <w:highlight w:val="none"/>
          <w:lang w:val="en-US" w:eastAsia="zh-CN"/>
        </w:rPr>
        <w:t>滤光玻璃测试方法 第6部分：荧光特性</w:t>
      </w:r>
    </w:p>
    <w:p w14:paraId="28D23671">
      <w:pPr>
        <w:spacing w:line="360" w:lineRule="auto"/>
        <w:ind w:firstLine="480"/>
        <w:rPr>
          <w:sz w:val="24"/>
          <w:highlight w:val="none"/>
        </w:rPr>
      </w:pPr>
      <w:r>
        <w:rPr>
          <w:rFonts w:hint="eastAsia"/>
          <w:sz w:val="24"/>
          <w:highlight w:val="none"/>
        </w:rPr>
        <w:t>凡是注日期的引用文件，仅注日期的版本适用于本规范；凡是不注日期的引用文件，其最新版本（包括所有的修改单）适用于本规范。</w:t>
      </w:r>
    </w:p>
    <w:p w14:paraId="51745037">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default" w:eastAsia="黑体" w:cs="Times New Roman"/>
          <w:sz w:val="24"/>
          <w:szCs w:val="24"/>
          <w:highlight w:val="none"/>
          <w:lang w:val="en-US" w:eastAsia="zh-CN"/>
        </w:rPr>
      </w:pPr>
      <w:bookmarkStart w:id="29" w:name="_Toc29390"/>
      <w:r>
        <w:rPr>
          <w:rFonts w:eastAsia="黑体" w:cs="Times New Roman"/>
          <w:sz w:val="24"/>
          <w:szCs w:val="24"/>
          <w:highlight w:val="none"/>
        </w:rPr>
        <w:t xml:space="preserve">3  </w:t>
      </w:r>
      <w:r>
        <w:rPr>
          <w:rFonts w:hint="eastAsia" w:eastAsia="黑体" w:cs="Times New Roman"/>
          <w:sz w:val="24"/>
          <w:szCs w:val="24"/>
          <w:highlight w:val="none"/>
          <w:lang w:val="en-US" w:eastAsia="zh-CN"/>
        </w:rPr>
        <w:t>术语和定义</w:t>
      </w:r>
      <w:bookmarkEnd w:id="29"/>
    </w:p>
    <w:p w14:paraId="43B277A4">
      <w:pPr>
        <w:spacing w:line="360" w:lineRule="auto"/>
        <w:ind w:firstLine="480"/>
        <w:rPr>
          <w:rFonts w:hint="eastAsia" w:ascii="宋体" w:hAnsi="宋体" w:cs="宋体"/>
          <w:sz w:val="24"/>
          <w:highlight w:val="none"/>
        </w:rPr>
      </w:pPr>
      <w:r>
        <w:rPr>
          <w:rFonts w:hint="eastAsia" w:ascii="宋体" w:hAnsi="宋体" w:cs="宋体"/>
          <w:sz w:val="24"/>
          <w:highlight w:val="none"/>
        </w:rPr>
        <w:t>GB/T 15489.6—2010</w:t>
      </w:r>
      <w:r>
        <w:rPr>
          <w:rFonts w:hint="eastAsia" w:ascii="宋体" w:hAnsi="宋体" w:cs="宋体"/>
          <w:sz w:val="24"/>
          <w:highlight w:val="none"/>
          <w:lang w:val="en-US" w:eastAsia="zh-CN"/>
        </w:rPr>
        <w:t>中界定的及以下的术语和定义</w:t>
      </w:r>
      <w:r>
        <w:rPr>
          <w:rFonts w:hint="eastAsia" w:ascii="宋体" w:hAnsi="宋体" w:cs="宋体"/>
          <w:sz w:val="24"/>
          <w:highlight w:val="none"/>
        </w:rPr>
        <w:t>适用于本规范。</w:t>
      </w:r>
    </w:p>
    <w:p w14:paraId="5CC8886D">
      <w:pPr>
        <w:spacing w:line="360" w:lineRule="auto"/>
        <w:ind w:firstLine="0" w:firstLineChars="0"/>
        <w:outlineLvl w:val="9"/>
        <w:rPr>
          <w:rFonts w:hint="eastAsia" w:ascii="Times New Roman" w:hAnsi="Times New Roman" w:cs="Times New Roman"/>
          <w:b w:val="0"/>
          <w:bCs w:val="0"/>
          <w:sz w:val="24"/>
          <w:highlight w:val="none"/>
          <w:lang w:val="en-US" w:eastAsia="zh-CN"/>
        </w:rPr>
      </w:pPr>
      <w:r>
        <w:rPr>
          <w:rFonts w:hint="eastAsia" w:ascii="宋体" w:hAnsi="宋体" w:cs="宋体"/>
          <w:b w:val="0"/>
          <w:bCs w:val="0"/>
          <w:sz w:val="24"/>
          <w:highlight w:val="none"/>
          <w:lang w:val="en-US" w:eastAsia="zh-CN"/>
        </w:rPr>
        <w:t>3</w:t>
      </w:r>
      <w:r>
        <w:rPr>
          <w:rFonts w:hint="eastAsia" w:ascii="宋体" w:hAnsi="宋体" w:cs="宋体"/>
          <w:b w:val="0"/>
          <w:bCs w:val="0"/>
          <w:sz w:val="24"/>
          <w:highlight w:val="none"/>
        </w:rPr>
        <w:t xml:space="preserve">.1  </w:t>
      </w:r>
      <w:r>
        <w:rPr>
          <w:rFonts w:hint="eastAsia" w:ascii="宋体" w:hAnsi="宋体" w:cs="宋体"/>
          <w:sz w:val="24"/>
          <w:highlight w:val="none"/>
          <w:lang w:val="en-US" w:eastAsia="zh-CN"/>
        </w:rPr>
        <w:t>荧光相对强度</w:t>
      </w:r>
      <w:r>
        <w:rPr>
          <w:rFonts w:hint="eastAsia" w:ascii="宋体" w:hAnsi="宋体" w:eastAsia="宋体" w:cs="宋体"/>
          <w:b w:val="0"/>
          <w:bCs w:val="0"/>
          <w:sz w:val="24"/>
          <w:highlight w:val="none"/>
          <w:lang w:val="en-US" w:eastAsia="zh-CN"/>
        </w:rPr>
        <w:t xml:space="preserve"> </w:t>
      </w:r>
      <w:r>
        <w:rPr>
          <w:rFonts w:hint="eastAsia" w:ascii="宋体" w:hAnsi="宋体" w:eastAsia="宋体" w:cs="宋体"/>
          <w:b w:val="0"/>
          <w:bCs w:val="0"/>
          <w:sz w:val="24"/>
          <w:highlight w:val="none"/>
        </w:rPr>
        <w:t>Fluorescence</w:t>
      </w:r>
      <w:r>
        <w:rPr>
          <w:rFonts w:hint="eastAsia" w:ascii="宋体" w:hAnsi="宋体" w:eastAsia="宋体" w:cs="宋体"/>
          <w:b w:val="0"/>
          <w:bCs w:val="0"/>
          <w:sz w:val="24"/>
          <w:highlight w:val="none"/>
          <w:lang w:val="en-US" w:eastAsia="zh-CN"/>
        </w:rPr>
        <w:t xml:space="preserve"> r</w:t>
      </w:r>
      <w:r>
        <w:rPr>
          <w:rFonts w:hint="eastAsia" w:ascii="宋体" w:hAnsi="宋体" w:cs="宋体"/>
          <w:sz w:val="24"/>
          <w:highlight w:val="none"/>
        </w:rPr>
        <w:t>elative Intensity</w:t>
      </w:r>
    </w:p>
    <w:p w14:paraId="33A1EE9C">
      <w:pPr>
        <w:spacing w:line="360" w:lineRule="auto"/>
        <w:ind w:firstLine="480"/>
        <w:outlineLvl w:val="9"/>
        <w:rPr>
          <w:rFonts w:hint="eastAsia"/>
          <w:sz w:val="24"/>
          <w:highlight w:val="none"/>
          <w:lang w:val="en-US" w:eastAsia="zh-CN"/>
        </w:rPr>
      </w:pPr>
      <w:r>
        <w:rPr>
          <w:rFonts w:hint="eastAsia"/>
          <w:sz w:val="24"/>
          <w:highlight w:val="none"/>
          <w:lang w:val="en-US" w:eastAsia="zh-CN"/>
        </w:rPr>
        <w:t>对荧光光谱进行归一化后的强度。</w:t>
      </w:r>
    </w:p>
    <w:p w14:paraId="3A1F2BCF">
      <w:pPr>
        <w:spacing w:line="360" w:lineRule="auto"/>
        <w:ind w:firstLine="0" w:firstLineChars="0"/>
        <w:outlineLvl w:val="9"/>
        <w:rPr>
          <w:rFonts w:hint="default" w:ascii="Times New Roman" w:hAnsi="Times New Roman" w:eastAsia="宋体" w:cs="Times New Roman"/>
          <w:b w:val="0"/>
          <w:bCs w:val="0"/>
          <w:sz w:val="24"/>
          <w:highlight w:val="none"/>
          <w:lang w:val="en-US" w:eastAsia="zh-CN"/>
        </w:rPr>
      </w:pPr>
      <w:r>
        <w:rPr>
          <w:rFonts w:hint="eastAsia" w:ascii="宋体" w:hAnsi="宋体" w:cs="宋体"/>
          <w:b w:val="0"/>
          <w:bCs w:val="0"/>
          <w:sz w:val="24"/>
          <w:highlight w:val="none"/>
          <w:lang w:val="en-US" w:eastAsia="zh-CN"/>
        </w:rPr>
        <w:t xml:space="preserve">3.2  </w:t>
      </w:r>
      <w:r>
        <w:rPr>
          <w:rFonts w:hint="eastAsia"/>
          <w:sz w:val="24"/>
          <w:highlight w:val="none"/>
          <w:lang w:val="en-US" w:eastAsia="zh-CN"/>
        </w:rPr>
        <w:t>荧光发射光谱</w:t>
      </w:r>
      <w:r>
        <w:rPr>
          <w:rFonts w:hint="eastAsia" w:ascii="宋体" w:hAnsi="宋体" w:cs="宋体"/>
          <w:sz w:val="24"/>
          <w:highlight w:val="none"/>
          <w:lang w:val="en-US" w:eastAsia="zh-CN"/>
        </w:rPr>
        <w:t>峰值波长 Peak wavelength of fluorescence emission spectrum</w:t>
      </w:r>
    </w:p>
    <w:p w14:paraId="30E953E7">
      <w:pPr>
        <w:spacing w:line="360" w:lineRule="auto"/>
        <w:ind w:firstLine="480"/>
        <w:outlineLvl w:val="9"/>
        <w:rPr>
          <w:rFonts w:hint="eastAsia"/>
          <w:sz w:val="24"/>
          <w:highlight w:val="none"/>
          <w:lang w:val="en-US" w:eastAsia="zh-CN"/>
        </w:rPr>
      </w:pPr>
      <w:r>
        <w:rPr>
          <w:rFonts w:hint="eastAsia"/>
          <w:sz w:val="24"/>
          <w:highlight w:val="none"/>
          <w:lang w:val="en-US" w:eastAsia="zh-CN"/>
        </w:rPr>
        <w:t>被测样品受激荧光发射光谱最大强度处对应的波长。</w:t>
      </w:r>
    </w:p>
    <w:p w14:paraId="55964B09">
      <w:pPr>
        <w:spacing w:line="360" w:lineRule="auto"/>
        <w:ind w:firstLine="480"/>
        <w:outlineLvl w:val="9"/>
        <w:rPr>
          <w:rFonts w:hint="eastAsia"/>
          <w:sz w:val="24"/>
          <w:highlight w:val="none"/>
          <w:lang w:val="en-US" w:eastAsia="zh-CN"/>
        </w:rPr>
      </w:pPr>
      <w:r>
        <w:rPr>
          <w:rFonts w:hint="eastAsia" w:ascii="宋体" w:hAnsi="宋体" w:cs="宋体"/>
          <w:sz w:val="24"/>
          <w:highlight w:val="none"/>
          <w:lang w:val="en-US" w:eastAsia="zh-CN"/>
        </w:rPr>
        <w:t>[来源：</w:t>
      </w:r>
      <w:r>
        <w:rPr>
          <w:rFonts w:hint="eastAsia" w:ascii="宋体" w:hAnsi="宋体" w:cs="宋体"/>
          <w:sz w:val="24"/>
          <w:highlight w:val="none"/>
        </w:rPr>
        <w:t xml:space="preserve">GB/T </w:t>
      </w:r>
      <w:r>
        <w:rPr>
          <w:rFonts w:hint="eastAsia" w:ascii="宋体" w:hAnsi="宋体" w:cs="宋体"/>
          <w:sz w:val="24"/>
          <w:highlight w:val="none"/>
          <w:lang w:val="en-US" w:eastAsia="zh-CN"/>
        </w:rPr>
        <w:t>15489</w:t>
      </w: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—201</w:t>
      </w:r>
      <w:r>
        <w:rPr>
          <w:rFonts w:hint="eastAsia" w:ascii="宋体" w:hAnsi="宋体" w:cs="宋体"/>
          <w:sz w:val="24"/>
          <w:highlight w:val="none"/>
          <w:lang w:val="en-US" w:eastAsia="zh-CN"/>
        </w:rPr>
        <w:t>0</w:t>
      </w:r>
      <w:r>
        <w:rPr>
          <w:rFonts w:hint="eastAsia" w:ascii="宋体" w:hAnsi="宋体" w:cs="宋体"/>
          <w:sz w:val="24"/>
          <w:highlight w:val="none"/>
          <w:lang w:eastAsia="zh-CN"/>
        </w:rPr>
        <w:t>，</w:t>
      </w:r>
      <w:r>
        <w:rPr>
          <w:rFonts w:hint="eastAsia" w:ascii="宋体" w:hAnsi="宋体" w:cs="宋体"/>
          <w:sz w:val="24"/>
          <w:highlight w:val="none"/>
          <w:lang w:val="en-US" w:eastAsia="zh-CN"/>
        </w:rPr>
        <w:t>3.1</w:t>
      </w:r>
      <w:r>
        <w:rPr>
          <w:rFonts w:hint="eastAsia" w:ascii="宋体" w:hAnsi="宋体" w:cs="宋体"/>
          <w:sz w:val="24"/>
          <w:highlight w:val="none"/>
          <w:lang w:eastAsia="zh-CN"/>
        </w:rPr>
        <w:t>，</w:t>
      </w:r>
      <w:r>
        <w:rPr>
          <w:rFonts w:hint="eastAsia" w:ascii="宋体" w:hAnsi="宋体" w:cs="宋体"/>
          <w:sz w:val="24"/>
          <w:highlight w:val="none"/>
          <w:lang w:val="en-US" w:eastAsia="zh-CN"/>
        </w:rPr>
        <w:t>有修改]</w:t>
      </w:r>
    </w:p>
    <w:p w14:paraId="6883ED5B">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eastAsia="黑体" w:cs="Times New Roman"/>
          <w:sz w:val="24"/>
          <w:szCs w:val="24"/>
          <w:highlight w:val="none"/>
        </w:rPr>
      </w:pPr>
      <w:bookmarkStart w:id="30" w:name="_Toc492"/>
      <w:r>
        <w:rPr>
          <w:rFonts w:hint="eastAsia" w:eastAsia="黑体" w:cs="Times New Roman"/>
          <w:sz w:val="24"/>
          <w:szCs w:val="24"/>
          <w:highlight w:val="none"/>
          <w:lang w:val="en-US" w:eastAsia="zh-CN"/>
        </w:rPr>
        <w:t>4</w:t>
      </w:r>
      <w:r>
        <w:rPr>
          <w:rFonts w:eastAsia="黑体" w:cs="Times New Roman"/>
          <w:sz w:val="24"/>
          <w:szCs w:val="24"/>
          <w:highlight w:val="none"/>
        </w:rPr>
        <w:t xml:space="preserve">  概述</w:t>
      </w:r>
      <w:bookmarkEnd w:id="30"/>
    </w:p>
    <w:p w14:paraId="1CDD5EE9">
      <w:pPr>
        <w:spacing w:line="360" w:lineRule="auto"/>
        <w:ind w:firstLine="420"/>
        <w:rPr>
          <w:rFonts w:hint="eastAsia" w:ascii="宋体" w:hAnsi="宋体" w:eastAsia="宋体" w:cs="宋体"/>
          <w:kern w:val="0"/>
          <w:sz w:val="24"/>
          <w:szCs w:val="24"/>
          <w:highlight w:val="none"/>
        </w:rPr>
      </w:pPr>
      <w:r>
        <w:rPr>
          <w:rFonts w:hint="default"/>
          <w:sz w:val="24"/>
          <w:highlight w:val="none"/>
        </w:rPr>
        <w:t>当</w:t>
      </w:r>
      <w:r>
        <w:rPr>
          <w:rFonts w:hint="eastAsia"/>
          <w:sz w:val="24"/>
          <w:highlight w:val="none"/>
          <w:lang w:val="en-US" w:eastAsia="zh-CN"/>
        </w:rPr>
        <w:t>材料</w:t>
      </w:r>
      <w:r>
        <w:rPr>
          <w:rFonts w:hint="default"/>
          <w:sz w:val="24"/>
          <w:highlight w:val="none"/>
        </w:rPr>
        <w:t>经</w:t>
      </w:r>
      <w:r>
        <w:rPr>
          <w:rFonts w:hint="eastAsia"/>
          <w:sz w:val="24"/>
          <w:highlight w:val="none"/>
          <w:lang w:val="en-US" w:eastAsia="zh-CN"/>
        </w:rPr>
        <w:t>一定</w:t>
      </w:r>
      <w:r>
        <w:rPr>
          <w:rFonts w:hint="default"/>
          <w:sz w:val="24"/>
          <w:highlight w:val="none"/>
        </w:rPr>
        <w:t>波长的入射光照射</w:t>
      </w:r>
      <w:r>
        <w:rPr>
          <w:rFonts w:hint="eastAsia"/>
          <w:sz w:val="24"/>
          <w:highlight w:val="none"/>
          <w:lang w:val="en-US" w:eastAsia="zh-CN"/>
        </w:rPr>
        <w:t>时</w:t>
      </w:r>
      <w:r>
        <w:rPr>
          <w:rFonts w:hint="default"/>
          <w:sz w:val="24"/>
          <w:highlight w:val="none"/>
        </w:rPr>
        <w:t>，</w:t>
      </w:r>
      <w:r>
        <w:rPr>
          <w:rFonts w:hint="eastAsia"/>
          <w:sz w:val="24"/>
          <w:highlight w:val="none"/>
          <w:lang w:val="en-US" w:eastAsia="zh-CN"/>
        </w:rPr>
        <w:t>材料中的电子</w:t>
      </w:r>
      <w:r>
        <w:rPr>
          <w:rFonts w:hint="default"/>
          <w:sz w:val="24"/>
          <w:highlight w:val="none"/>
        </w:rPr>
        <w:t>吸收光</w:t>
      </w:r>
      <w:r>
        <w:rPr>
          <w:rFonts w:hint="eastAsia"/>
          <w:sz w:val="24"/>
          <w:highlight w:val="none"/>
          <w:lang w:val="en-US" w:eastAsia="zh-CN"/>
        </w:rPr>
        <w:t>子能量</w:t>
      </w:r>
      <w:r>
        <w:rPr>
          <w:rFonts w:hint="default"/>
          <w:sz w:val="24"/>
          <w:highlight w:val="none"/>
        </w:rPr>
        <w:t>后从价带跃迁至导带并在价带留下空穴</w:t>
      </w:r>
      <w:r>
        <w:rPr>
          <w:rFonts w:hint="eastAsia"/>
          <w:sz w:val="24"/>
          <w:highlight w:val="none"/>
          <w:lang w:eastAsia="zh-CN"/>
        </w:rPr>
        <w:t>，</w:t>
      </w:r>
      <w:r>
        <w:rPr>
          <w:rFonts w:hint="default"/>
          <w:sz w:val="24"/>
          <w:highlight w:val="none"/>
        </w:rPr>
        <w:t>电子会向着价带的最小值进行能量和动量的弛豫，最终和空穴复合，</w:t>
      </w:r>
      <w:r>
        <w:rPr>
          <w:rFonts w:hint="eastAsia"/>
          <w:sz w:val="24"/>
          <w:highlight w:val="none"/>
          <w:lang w:val="en-US" w:eastAsia="zh-CN"/>
        </w:rPr>
        <w:t>发射</w:t>
      </w:r>
      <w:r>
        <w:rPr>
          <w:rFonts w:hint="default"/>
          <w:sz w:val="24"/>
          <w:highlight w:val="none"/>
        </w:rPr>
        <w:t>出光子</w:t>
      </w:r>
      <w:r>
        <w:rPr>
          <w:rFonts w:hint="eastAsia"/>
          <w:sz w:val="24"/>
          <w:highlight w:val="none"/>
          <w:lang w:eastAsia="zh-CN"/>
        </w:rPr>
        <w:t>，</w:t>
      </w:r>
      <w:r>
        <w:rPr>
          <w:rFonts w:hint="default"/>
          <w:sz w:val="24"/>
          <w:highlight w:val="none"/>
        </w:rPr>
        <w:t>形成不同波长</w:t>
      </w:r>
      <w:r>
        <w:rPr>
          <w:rFonts w:hint="eastAsia"/>
          <w:sz w:val="24"/>
          <w:highlight w:val="none"/>
          <w:lang w:val="en-US" w:eastAsia="zh-CN"/>
        </w:rPr>
        <w:t>下</w:t>
      </w:r>
      <w:r>
        <w:rPr>
          <w:rFonts w:hint="default"/>
          <w:sz w:val="24"/>
          <w:highlight w:val="none"/>
        </w:rPr>
        <w:t>光的强度或能量分布的</w:t>
      </w:r>
      <w:r>
        <w:rPr>
          <w:rFonts w:hint="eastAsia"/>
          <w:sz w:val="24"/>
          <w:highlight w:val="none"/>
          <w:lang w:val="en-US" w:eastAsia="zh-CN"/>
        </w:rPr>
        <w:t>发射光谱</w:t>
      </w:r>
      <w:r>
        <w:rPr>
          <w:rFonts w:hint="eastAsia"/>
          <w:sz w:val="24"/>
          <w:highlight w:val="none"/>
          <w:lang w:eastAsia="zh-CN"/>
        </w:rPr>
        <w:t>。</w:t>
      </w:r>
      <w:r>
        <w:rPr>
          <w:rFonts w:hint="eastAsia"/>
          <w:sz w:val="24"/>
          <w:highlight w:val="none"/>
          <w:lang w:val="en-US" w:eastAsia="zh-CN"/>
        </w:rPr>
        <w:t>材料的荧光发射光谱为材料最重要的荧光特性，在材料的定性分析中具有重要应用。</w:t>
      </w:r>
    </w:p>
    <w:p w14:paraId="0B7F1537">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eastAsia="黑体" w:cs="Times New Roman"/>
          <w:sz w:val="24"/>
          <w:szCs w:val="24"/>
          <w:highlight w:val="none"/>
        </w:rPr>
      </w:pPr>
      <w:bookmarkStart w:id="31" w:name="_Toc25030"/>
      <w:r>
        <w:rPr>
          <w:rFonts w:hint="eastAsia" w:eastAsia="黑体" w:cs="Times New Roman"/>
          <w:sz w:val="24"/>
          <w:szCs w:val="24"/>
          <w:highlight w:val="none"/>
          <w:lang w:val="en-US" w:eastAsia="zh-CN"/>
        </w:rPr>
        <w:t>5</w:t>
      </w:r>
      <w:r>
        <w:rPr>
          <w:rFonts w:hint="eastAsia" w:eastAsia="黑体" w:cs="Times New Roman"/>
          <w:sz w:val="24"/>
          <w:szCs w:val="24"/>
          <w:highlight w:val="none"/>
        </w:rPr>
        <w:t xml:space="preserve">  计量特性</w:t>
      </w:r>
      <w:bookmarkEnd w:id="31"/>
    </w:p>
    <w:p w14:paraId="175A14A2">
      <w:pPr>
        <w:ind w:firstLine="480" w:firstLineChars="200"/>
        <w:rPr>
          <w:rFonts w:hint="eastAsia" w:ascii="宋体" w:hAnsi="宋体" w:cs="宋体"/>
          <w:sz w:val="24"/>
          <w:highlight w:val="none"/>
        </w:rPr>
      </w:pPr>
      <w:r>
        <w:rPr>
          <w:rFonts w:hint="eastAsia" w:ascii="宋体" w:hAnsi="宋体" w:cs="宋体"/>
          <w:sz w:val="24"/>
          <w:highlight w:val="none"/>
        </w:rPr>
        <w:t>计量特性见表1：</w:t>
      </w:r>
    </w:p>
    <w:p w14:paraId="6568E7F7">
      <w:pPr>
        <w:spacing w:line="360" w:lineRule="auto"/>
        <w:jc w:val="center"/>
        <w:rPr>
          <w:rFonts w:hint="eastAsia" w:ascii="黑体" w:hAnsi="黑体" w:eastAsia="黑体" w:cs="黑体"/>
          <w:sz w:val="21"/>
          <w:szCs w:val="21"/>
          <w:highlight w:val="none"/>
        </w:rPr>
      </w:pPr>
      <w:r>
        <w:rPr>
          <w:rFonts w:hint="eastAsia" w:ascii="黑体" w:hAnsi="黑体" w:eastAsia="黑体" w:cs="黑体"/>
          <w:szCs w:val="21"/>
          <w:highlight w:val="none"/>
        </w:rPr>
        <w:t>表1 计量特性</w:t>
      </w:r>
    </w:p>
    <w:tbl>
      <w:tblPr>
        <w:tblStyle w:val="16"/>
        <w:tblW w:w="0" w:type="auto"/>
        <w:jc w:val="center"/>
        <w:tblLayout w:type="autofit"/>
        <w:tblCellMar>
          <w:top w:w="0" w:type="dxa"/>
          <w:left w:w="108" w:type="dxa"/>
          <w:bottom w:w="0" w:type="dxa"/>
          <w:right w:w="108" w:type="dxa"/>
        </w:tblCellMar>
      </w:tblPr>
      <w:tblGrid>
        <w:gridCol w:w="3576"/>
        <w:gridCol w:w="4139"/>
      </w:tblGrid>
      <w:tr w14:paraId="5598E82A">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291E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rPr>
              <w:t>校准项目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59AE5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rPr>
              <w:t>计量特性</w:t>
            </w:r>
          </w:p>
        </w:tc>
      </w:tr>
      <w:tr w14:paraId="6EC3633A">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0D5A10">
            <w:pPr>
              <w:widowControl/>
              <w:jc w:val="center"/>
              <w:textAlignment w:val="center"/>
              <w:rPr>
                <w:rFonts w:ascii="宋体" w:hAnsi="宋体" w:cs="宋体"/>
                <w:color w:val="000000"/>
                <w:kern w:val="0"/>
                <w:sz w:val="21"/>
                <w:szCs w:val="21"/>
                <w:highlight w:val="none"/>
              </w:rPr>
            </w:pPr>
            <w:r>
              <w:rPr>
                <w:rFonts w:hint="eastAsia" w:ascii="宋体" w:hAnsi="宋体" w:cs="宋体"/>
                <w:kern w:val="0"/>
                <w:sz w:val="21"/>
                <w:szCs w:val="21"/>
                <w:highlight w:val="none"/>
              </w:rPr>
              <w:t>荧光相对强度校准曲线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1CB933">
            <w:pPr>
              <w:widowControl/>
              <w:jc w:val="center"/>
              <w:textAlignment w:val="center"/>
              <w:rPr>
                <w:rFonts w:ascii="宋体" w:hAnsi="宋体" w:cs="宋体"/>
                <w:color w:val="000000"/>
                <w:kern w:val="0"/>
                <w:sz w:val="21"/>
                <w:szCs w:val="21"/>
                <w:highlight w:val="none"/>
              </w:rPr>
            </w:pPr>
            <w:r>
              <w:rPr>
                <w:rFonts w:hint="eastAsia" w:ascii="宋体" w:hAnsi="宋体" w:cs="宋体"/>
                <w:kern w:val="0"/>
                <w:sz w:val="21"/>
                <w:szCs w:val="21"/>
                <w:highlight w:val="none"/>
              </w:rPr>
              <w:t>相对扩展不确定度</w:t>
            </w:r>
            <w:r>
              <w:rPr>
                <w:i/>
                <w:iCs/>
                <w:kern w:val="0"/>
                <w:sz w:val="21"/>
                <w:szCs w:val="21"/>
                <w:highlight w:val="none"/>
              </w:rPr>
              <w:t>U</w:t>
            </w:r>
            <w:r>
              <w:rPr>
                <w:kern w:val="0"/>
                <w:sz w:val="21"/>
                <w:szCs w:val="21"/>
                <w:highlight w:val="none"/>
                <w:vertAlign w:val="subscript"/>
              </w:rPr>
              <w:t>rel</w:t>
            </w:r>
            <w:r>
              <w:rPr>
                <w:kern w:val="0"/>
                <w:sz w:val="21"/>
                <w:szCs w:val="21"/>
                <w:highlight w:val="none"/>
              </w:rPr>
              <w:t>(</w:t>
            </w: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kern w:val="0"/>
                <w:sz w:val="21"/>
                <w:szCs w:val="21"/>
                <w:highlight w:val="none"/>
              </w:rPr>
              <w:t>)</w:t>
            </w:r>
            <w:r>
              <w:rPr>
                <w:rFonts w:hint="eastAsia" w:eastAsia="等线"/>
                <w:color w:val="000000"/>
                <w:kern w:val="0"/>
                <w:sz w:val="21"/>
                <w:szCs w:val="21"/>
                <w:highlight w:val="none"/>
                <w:lang w:bidi="ar"/>
              </w:rPr>
              <w:t>≤</w:t>
            </w:r>
            <w:r>
              <w:rPr>
                <w:rFonts w:hint="eastAsia" w:eastAsia="等线"/>
                <w:color w:val="000000"/>
                <w:kern w:val="0"/>
                <w:sz w:val="21"/>
                <w:szCs w:val="21"/>
                <w:highlight w:val="none"/>
                <w:lang w:val="en-US" w:eastAsia="zh-CN" w:bidi="ar"/>
              </w:rPr>
              <w:t>10%</w:t>
            </w:r>
            <w:r>
              <w:rPr>
                <w:rFonts w:hint="eastAsia" w:ascii="宋体" w:hAnsi="宋体" w:cs="宋体"/>
                <w:kern w:val="0"/>
                <w:sz w:val="21"/>
                <w:szCs w:val="21"/>
                <w:highlight w:val="none"/>
              </w:rPr>
              <w:t>（</w:t>
            </w:r>
            <w:r>
              <w:rPr>
                <w:i/>
                <w:iCs/>
                <w:kern w:val="0"/>
                <w:sz w:val="21"/>
                <w:szCs w:val="21"/>
                <w:highlight w:val="none"/>
              </w:rPr>
              <w:t>k</w:t>
            </w:r>
            <w:r>
              <w:rPr>
                <w:kern w:val="0"/>
                <w:sz w:val="21"/>
                <w:szCs w:val="21"/>
                <w:highlight w:val="none"/>
              </w:rPr>
              <w:t>=</w:t>
            </w:r>
            <w:r>
              <w:rPr>
                <w:rFonts w:hint="eastAsia" w:ascii="宋体" w:hAnsi="宋体" w:cs="宋体"/>
                <w:kern w:val="0"/>
                <w:sz w:val="21"/>
                <w:szCs w:val="21"/>
                <w:highlight w:val="none"/>
              </w:rPr>
              <w:t>2）</w:t>
            </w:r>
          </w:p>
        </w:tc>
      </w:tr>
      <w:tr w14:paraId="24FC7943">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83246">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rPr>
              <w:t>荧光相对强度测量重复性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4AB30">
            <w:pPr>
              <w:widowControl/>
              <w:jc w:val="center"/>
              <w:textAlignment w:val="center"/>
              <w:rPr>
                <w:rFonts w:hint="default" w:eastAsia="等线"/>
                <w:sz w:val="21"/>
                <w:szCs w:val="21"/>
                <w:highlight w:val="none"/>
                <w:lang w:val="en-US" w:eastAsia="zh-CN"/>
              </w:rPr>
            </w:pPr>
            <w:r>
              <w:rPr>
                <w:rFonts w:hint="eastAsia" w:eastAsia="等线"/>
                <w:color w:val="000000"/>
                <w:kern w:val="0"/>
                <w:sz w:val="21"/>
                <w:szCs w:val="21"/>
                <w:highlight w:val="none"/>
                <w:lang w:bidi="ar"/>
              </w:rPr>
              <w:t>≤</w:t>
            </w:r>
            <w:r>
              <w:rPr>
                <w:rFonts w:hint="eastAsia" w:eastAsia="等线"/>
                <w:color w:val="000000"/>
                <w:kern w:val="0"/>
                <w:sz w:val="21"/>
                <w:szCs w:val="21"/>
                <w:highlight w:val="none"/>
                <w:lang w:val="en-US" w:eastAsia="zh-CN" w:bidi="ar"/>
              </w:rPr>
              <w:t>0.</w:t>
            </w:r>
            <w:r>
              <w:rPr>
                <w:rFonts w:hint="eastAsia" w:ascii="宋体" w:hAnsi="宋体" w:eastAsia="等线" w:cs="宋体"/>
                <w:kern w:val="0"/>
                <w:sz w:val="21"/>
                <w:szCs w:val="21"/>
                <w:highlight w:val="none"/>
                <w:lang w:val="en-US" w:eastAsia="zh-CN"/>
              </w:rPr>
              <w:t>100</w:t>
            </w:r>
          </w:p>
        </w:tc>
      </w:tr>
      <w:tr w14:paraId="29FD6934">
        <w:tblPrEx>
          <w:tblCellMar>
            <w:top w:w="0" w:type="dxa"/>
            <w:left w:w="108" w:type="dxa"/>
            <w:bottom w:w="0" w:type="dxa"/>
            <w:right w:w="108" w:type="dxa"/>
          </w:tblCellMar>
        </w:tblPrEx>
        <w:trPr>
          <w:trHeight w:val="3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3DF6B">
            <w:pPr>
              <w:widowControl/>
              <w:jc w:val="center"/>
              <w:textAlignment w:val="center"/>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荧光发射光谱峰值波长的测量重复性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8CEDE">
            <w:pPr>
              <w:widowControl/>
              <w:jc w:val="center"/>
              <w:textAlignment w:val="center"/>
              <w:rPr>
                <w:rFonts w:hint="default" w:ascii="宋体" w:hAnsi="宋体" w:eastAsia="等线" w:cs="宋体"/>
                <w:color w:val="000000"/>
                <w:kern w:val="0"/>
                <w:sz w:val="21"/>
                <w:szCs w:val="21"/>
                <w:highlight w:val="none"/>
                <w:lang w:val="en-US" w:eastAsia="zh-CN"/>
              </w:rPr>
            </w:pPr>
            <w:r>
              <w:rPr>
                <w:rFonts w:hint="eastAsia" w:eastAsia="等线"/>
                <w:color w:val="000000"/>
                <w:kern w:val="0"/>
                <w:sz w:val="21"/>
                <w:szCs w:val="21"/>
                <w:highlight w:val="none"/>
                <w:lang w:bidi="ar"/>
              </w:rPr>
              <w:t>≤</w:t>
            </w:r>
            <w:r>
              <w:rPr>
                <w:rFonts w:hint="eastAsia" w:ascii="宋体" w:hAnsi="宋体" w:eastAsia="等线" w:cs="宋体"/>
                <w:kern w:val="0"/>
                <w:sz w:val="21"/>
                <w:szCs w:val="21"/>
                <w:highlight w:val="none"/>
                <w:lang w:val="en-US" w:eastAsia="zh-CN"/>
              </w:rPr>
              <w:t>1.00 nm</w:t>
            </w:r>
          </w:p>
        </w:tc>
      </w:tr>
    </w:tbl>
    <w:p w14:paraId="6623B65E">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eastAsia="zh-CN"/>
        </w:rPr>
      </w:pPr>
      <w:bookmarkStart w:id="32" w:name="_Toc9927"/>
      <w:r>
        <w:rPr>
          <w:rFonts w:hint="eastAsia" w:eastAsia="黑体" w:cs="Times New Roman"/>
          <w:sz w:val="24"/>
          <w:szCs w:val="24"/>
          <w:highlight w:val="none"/>
          <w:lang w:val="en-US" w:eastAsia="zh-CN"/>
        </w:rPr>
        <w:t>6</w:t>
      </w:r>
      <w:r>
        <w:rPr>
          <w:rFonts w:hint="eastAsia" w:eastAsia="黑体" w:cs="Times New Roman"/>
          <w:sz w:val="24"/>
          <w:szCs w:val="24"/>
          <w:highlight w:val="none"/>
        </w:rPr>
        <w:t xml:space="preserve">  校准条件</w:t>
      </w:r>
      <w:bookmarkEnd w:id="32"/>
    </w:p>
    <w:p w14:paraId="7CB94F7C">
      <w:pPr>
        <w:spacing w:line="360" w:lineRule="auto"/>
        <w:outlineLvl w:val="1"/>
        <w:rPr>
          <w:sz w:val="24"/>
          <w:highlight w:val="none"/>
        </w:rPr>
      </w:pPr>
      <w:bookmarkStart w:id="33" w:name="_Toc31089"/>
      <w:bookmarkStart w:id="34" w:name="_Toc4792"/>
      <w:bookmarkStart w:id="35" w:name="_Toc27363"/>
      <w:bookmarkStart w:id="36" w:name="_Toc17795"/>
      <w:bookmarkStart w:id="37" w:name="_Toc782"/>
      <w:bookmarkStart w:id="38" w:name="_Toc31078"/>
      <w:r>
        <w:rPr>
          <w:rFonts w:hint="eastAsia" w:ascii="宋体" w:hAnsi="宋体" w:cs="宋体"/>
          <w:sz w:val="24"/>
          <w:highlight w:val="none"/>
          <w:lang w:val="en-US" w:eastAsia="zh-CN"/>
        </w:rPr>
        <w:t>6</w:t>
      </w:r>
      <w:r>
        <w:rPr>
          <w:rFonts w:hint="eastAsia" w:ascii="宋体" w:hAnsi="宋体" w:cs="宋体"/>
          <w:sz w:val="24"/>
          <w:highlight w:val="none"/>
        </w:rPr>
        <w:t xml:space="preserve">.1  </w:t>
      </w:r>
      <w:r>
        <w:rPr>
          <w:rFonts w:hint="eastAsia"/>
          <w:sz w:val="24"/>
          <w:highlight w:val="none"/>
        </w:rPr>
        <w:t>环境条件</w:t>
      </w:r>
      <w:bookmarkEnd w:id="33"/>
      <w:bookmarkEnd w:id="34"/>
      <w:bookmarkEnd w:id="35"/>
      <w:bookmarkEnd w:id="36"/>
      <w:bookmarkEnd w:id="37"/>
      <w:bookmarkEnd w:id="38"/>
    </w:p>
    <w:p w14:paraId="742619D5">
      <w:pPr>
        <w:spacing w:line="360" w:lineRule="auto"/>
        <w:rPr>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 xml:space="preserve">.1.1  </w:t>
      </w:r>
      <w:r>
        <w:rPr>
          <w:rFonts w:hint="eastAsia"/>
          <w:sz w:val="24"/>
          <w:highlight w:val="none"/>
        </w:rPr>
        <w:t>环境温度：</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p>
    <w:p w14:paraId="46A67DC9">
      <w:pPr>
        <w:spacing w:line="360" w:lineRule="auto"/>
        <w:rPr>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 xml:space="preserve">.1.2  </w:t>
      </w:r>
      <w:r>
        <w:rPr>
          <w:rFonts w:hint="eastAsia"/>
          <w:sz w:val="24"/>
          <w:highlight w:val="none"/>
        </w:rPr>
        <w:t>相对湿度：≤</w:t>
      </w:r>
      <w:r>
        <w:rPr>
          <w:rFonts w:hint="eastAsia" w:ascii="宋体" w:hAnsi="宋体" w:cs="宋体"/>
          <w:sz w:val="24"/>
          <w:highlight w:val="none"/>
        </w:rPr>
        <w:t>65</w:t>
      </w:r>
      <w:r>
        <w:rPr>
          <w:rFonts w:hint="eastAsia"/>
          <w:sz w:val="24"/>
          <w:highlight w:val="none"/>
        </w:rPr>
        <w:t xml:space="preserve"> %</w:t>
      </w:r>
      <w:r>
        <w:rPr>
          <w:rFonts w:hint="eastAsia"/>
          <w:sz w:val="24"/>
          <w:highlight w:val="none"/>
          <w:lang w:val="en-US" w:eastAsia="zh-CN"/>
        </w:rPr>
        <w:t xml:space="preserve"> RH</w:t>
      </w:r>
      <w:r>
        <w:rPr>
          <w:rFonts w:hint="eastAsia"/>
          <w:sz w:val="24"/>
          <w:highlight w:val="none"/>
        </w:rPr>
        <w:t>。</w:t>
      </w:r>
    </w:p>
    <w:p w14:paraId="6999AD74">
      <w:pPr>
        <w:spacing w:line="360" w:lineRule="auto"/>
        <w:rPr>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 xml:space="preserve">.1.3  </w:t>
      </w:r>
      <w:r>
        <w:rPr>
          <w:rFonts w:hint="eastAsia" w:ascii="宋体" w:hAnsi="宋体" w:cs="宋体"/>
          <w:sz w:val="24"/>
          <w:highlight w:val="none"/>
          <w:lang w:val="en-US" w:eastAsia="zh-CN"/>
        </w:rPr>
        <w:t>测量</w:t>
      </w:r>
      <w:r>
        <w:rPr>
          <w:rFonts w:hint="eastAsia" w:ascii="宋体"/>
          <w:sz w:val="24"/>
          <w:highlight w:val="none"/>
          <w:lang w:val="en-US" w:eastAsia="zh-CN"/>
        </w:rPr>
        <w:t>仪器</w:t>
      </w:r>
      <w:r>
        <w:rPr>
          <w:rFonts w:hint="eastAsia" w:ascii="宋体"/>
          <w:sz w:val="24"/>
          <w:highlight w:val="none"/>
        </w:rPr>
        <w:t>应放置于隔振光学平台上，</w:t>
      </w:r>
      <w:r>
        <w:rPr>
          <w:sz w:val="24"/>
          <w:highlight w:val="none"/>
        </w:rPr>
        <w:t>周围无腐蚀性气体、强电场或强磁场干扰。</w:t>
      </w:r>
    </w:p>
    <w:p w14:paraId="652FC2F7">
      <w:pPr>
        <w:spacing w:line="360" w:lineRule="auto"/>
        <w:outlineLvl w:val="1"/>
        <w:rPr>
          <w:rFonts w:hint="default" w:eastAsia="宋体"/>
          <w:sz w:val="24"/>
          <w:highlight w:val="none"/>
          <w:lang w:val="en-US" w:eastAsia="zh-CN"/>
        </w:rPr>
      </w:pPr>
      <w:bookmarkStart w:id="39" w:name="_Toc20792"/>
      <w:bookmarkStart w:id="40" w:name="_Toc188"/>
      <w:bookmarkStart w:id="41" w:name="_Toc346"/>
      <w:bookmarkStart w:id="42" w:name="_Toc27821"/>
      <w:bookmarkStart w:id="43" w:name="_Toc27002"/>
      <w:bookmarkStart w:id="44" w:name="_Toc3520"/>
      <w:r>
        <w:rPr>
          <w:rFonts w:hint="eastAsia" w:ascii="宋体" w:hAnsi="宋体" w:cs="宋体"/>
          <w:sz w:val="24"/>
          <w:highlight w:val="none"/>
          <w:lang w:val="en-US" w:eastAsia="zh-CN"/>
        </w:rPr>
        <w:t>6</w:t>
      </w:r>
      <w:r>
        <w:rPr>
          <w:rFonts w:hint="eastAsia" w:ascii="宋体" w:hAnsi="宋体" w:cs="宋体"/>
          <w:sz w:val="24"/>
          <w:highlight w:val="none"/>
        </w:rPr>
        <w:t xml:space="preserve">.2  </w:t>
      </w:r>
      <w:bookmarkEnd w:id="39"/>
      <w:bookmarkEnd w:id="40"/>
      <w:bookmarkEnd w:id="41"/>
      <w:bookmarkEnd w:id="42"/>
      <w:bookmarkEnd w:id="43"/>
      <w:r>
        <w:rPr>
          <w:rFonts w:hint="eastAsia"/>
          <w:sz w:val="24"/>
          <w:highlight w:val="none"/>
          <w:lang w:val="en-US" w:eastAsia="zh-CN"/>
        </w:rPr>
        <w:t>测量标准及其他设备</w:t>
      </w:r>
      <w:bookmarkEnd w:id="44"/>
    </w:p>
    <w:p w14:paraId="413E8DFD">
      <w:pPr>
        <w:widowControl/>
        <w:spacing w:line="360" w:lineRule="auto"/>
        <w:ind w:firstLine="480" w:firstLineChars="200"/>
        <w:jc w:val="left"/>
        <w:rPr>
          <w:sz w:val="24"/>
          <w:highlight w:val="none"/>
        </w:rPr>
      </w:pPr>
      <w:r>
        <w:rPr>
          <w:rFonts w:hint="eastAsia"/>
          <w:sz w:val="24"/>
          <w:highlight w:val="none"/>
          <w:lang w:val="en-US" w:eastAsia="zh-CN"/>
        </w:rPr>
        <w:t>采用的</w:t>
      </w:r>
      <w:r>
        <w:rPr>
          <w:rFonts w:hint="eastAsia"/>
          <w:sz w:val="24"/>
          <w:highlight w:val="none"/>
        </w:rPr>
        <w:t>标准器</w:t>
      </w:r>
      <w:r>
        <w:rPr>
          <w:rFonts w:hint="eastAsia"/>
          <w:sz w:val="24"/>
          <w:highlight w:val="none"/>
          <w:lang w:val="en-US" w:eastAsia="zh-CN"/>
        </w:rPr>
        <w:t>为</w:t>
      </w:r>
      <w:r>
        <w:rPr>
          <w:rStyle w:val="44"/>
          <w:rFonts w:hint="default"/>
          <w:sz w:val="24"/>
          <w:szCs w:val="24"/>
          <w:highlight w:val="none"/>
        </w:rPr>
        <w:t>汞氩灯</w:t>
      </w:r>
      <w:r>
        <w:rPr>
          <w:rStyle w:val="44"/>
          <w:sz w:val="24"/>
          <w:szCs w:val="24"/>
          <w:highlight w:val="none"/>
          <w:lang w:eastAsia="zh-CN"/>
        </w:rPr>
        <w:t>，</w:t>
      </w:r>
      <w:r>
        <w:rPr>
          <w:rStyle w:val="44"/>
          <w:rFonts w:hint="eastAsia"/>
          <w:sz w:val="24"/>
          <w:szCs w:val="24"/>
          <w:highlight w:val="none"/>
          <w:lang w:val="en-US" w:eastAsia="zh-CN"/>
        </w:rPr>
        <w:t>标准物质为</w:t>
      </w:r>
      <w:r>
        <w:rPr>
          <w:rStyle w:val="44"/>
          <w:rFonts w:hint="eastAsia"/>
          <w:sz w:val="24"/>
          <w:szCs w:val="24"/>
          <w:highlight w:val="none"/>
          <w:lang w:val="en-US" w:eastAsia="zh-CN" w:bidi="ar"/>
        </w:rPr>
        <w:t>荧光相对强度标准物质</w:t>
      </w:r>
      <w:r>
        <w:rPr>
          <w:rFonts w:hint="eastAsia"/>
          <w:sz w:val="24"/>
          <w:highlight w:val="none"/>
        </w:rPr>
        <w:t>，计量特性指标见表</w:t>
      </w:r>
      <w:r>
        <w:rPr>
          <w:rFonts w:hint="eastAsia" w:ascii="宋体" w:hAnsi="宋体" w:cs="宋体"/>
          <w:sz w:val="24"/>
          <w:highlight w:val="none"/>
        </w:rPr>
        <w:t>2</w:t>
      </w:r>
      <w:r>
        <w:rPr>
          <w:rFonts w:hint="eastAsia"/>
          <w:sz w:val="24"/>
          <w:highlight w:val="none"/>
        </w:rPr>
        <w:t>：</w:t>
      </w:r>
    </w:p>
    <w:p w14:paraId="310E46F2">
      <w:pPr>
        <w:spacing w:line="360" w:lineRule="auto"/>
        <w:jc w:val="center"/>
        <w:rPr>
          <w:rFonts w:hint="eastAsia" w:ascii="黑体" w:hAnsi="黑体" w:eastAsia="黑体" w:cs="黑体"/>
          <w:szCs w:val="21"/>
          <w:highlight w:val="none"/>
        </w:rPr>
      </w:pPr>
      <w:r>
        <w:rPr>
          <w:rFonts w:hint="eastAsia" w:ascii="黑体" w:hAnsi="黑体" w:eastAsia="黑体" w:cs="黑体"/>
          <w:szCs w:val="21"/>
          <w:highlight w:val="none"/>
        </w:rPr>
        <w:t>表2 标准器/标准物质一览表</w:t>
      </w:r>
    </w:p>
    <w:tbl>
      <w:tblPr>
        <w:tblStyle w:val="16"/>
        <w:tblW w:w="3807" w:type="pct"/>
        <w:jc w:val="center"/>
        <w:tblLayout w:type="autofit"/>
        <w:tblCellMar>
          <w:top w:w="0" w:type="dxa"/>
          <w:left w:w="108" w:type="dxa"/>
          <w:bottom w:w="0" w:type="dxa"/>
          <w:right w:w="108" w:type="dxa"/>
        </w:tblCellMar>
      </w:tblPr>
      <w:tblGrid>
        <w:gridCol w:w="3183"/>
        <w:gridCol w:w="3887"/>
      </w:tblGrid>
      <w:tr w14:paraId="528D5E8B">
        <w:tblPrEx>
          <w:tblCellMar>
            <w:top w:w="0" w:type="dxa"/>
            <w:left w:w="108" w:type="dxa"/>
            <w:bottom w:w="0" w:type="dxa"/>
            <w:right w:w="108" w:type="dxa"/>
          </w:tblCellMar>
        </w:tblPrEx>
        <w:trPr>
          <w:trHeight w:val="462" w:hRule="atLeast"/>
          <w:jc w:val="center"/>
        </w:trPr>
        <w:tc>
          <w:tcPr>
            <w:tcW w:w="2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4A252">
            <w:pPr>
              <w:widowControl/>
              <w:jc w:val="center"/>
              <w:textAlignment w:val="center"/>
              <w:rPr>
                <w:rFonts w:hint="default" w:eastAsia="宋体"/>
                <w:color w:val="000000"/>
                <w:sz w:val="21"/>
                <w:szCs w:val="21"/>
                <w:highlight w:val="none"/>
                <w:lang w:val="en-US" w:eastAsia="zh-CN"/>
              </w:rPr>
            </w:pPr>
            <w:r>
              <w:rPr>
                <w:rStyle w:val="44"/>
                <w:rFonts w:hint="default" w:eastAsia="宋体"/>
                <w:sz w:val="21"/>
                <w:szCs w:val="21"/>
                <w:highlight w:val="none"/>
                <w:lang w:bidi="ar"/>
              </w:rPr>
              <w:t>标准器</w:t>
            </w:r>
            <w:r>
              <w:rPr>
                <w:rStyle w:val="44"/>
                <w:rFonts w:hint="eastAsia"/>
                <w:sz w:val="21"/>
                <w:szCs w:val="21"/>
                <w:highlight w:val="none"/>
                <w:lang w:val="en-US" w:eastAsia="zh-CN" w:bidi="ar"/>
              </w:rPr>
              <w:t>/标准物质</w:t>
            </w:r>
          </w:p>
        </w:tc>
        <w:tc>
          <w:tcPr>
            <w:tcW w:w="27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BE737">
            <w:pPr>
              <w:widowControl/>
              <w:jc w:val="center"/>
              <w:textAlignment w:val="center"/>
              <w:rPr>
                <w:rFonts w:eastAsia="等线"/>
                <w:color w:val="000000"/>
                <w:sz w:val="21"/>
                <w:szCs w:val="21"/>
                <w:highlight w:val="none"/>
              </w:rPr>
            </w:pPr>
            <w:r>
              <w:rPr>
                <w:rStyle w:val="44"/>
                <w:rFonts w:hint="default"/>
                <w:sz w:val="21"/>
                <w:szCs w:val="21"/>
                <w:highlight w:val="none"/>
                <w:lang w:bidi="ar"/>
              </w:rPr>
              <w:t>计量特性指标</w:t>
            </w:r>
          </w:p>
        </w:tc>
      </w:tr>
      <w:tr w14:paraId="30AA87D1">
        <w:tblPrEx>
          <w:tblCellMar>
            <w:top w:w="0" w:type="dxa"/>
            <w:left w:w="108" w:type="dxa"/>
            <w:bottom w:w="0" w:type="dxa"/>
            <w:right w:w="108" w:type="dxa"/>
          </w:tblCellMar>
        </w:tblPrEx>
        <w:trPr>
          <w:trHeight w:val="462" w:hRule="atLeast"/>
          <w:jc w:val="center"/>
        </w:trPr>
        <w:tc>
          <w:tcPr>
            <w:tcW w:w="2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FD1F">
            <w:pPr>
              <w:widowControl/>
              <w:jc w:val="center"/>
              <w:textAlignment w:val="center"/>
              <w:rPr>
                <w:rFonts w:eastAsia="等线"/>
                <w:color w:val="000000"/>
                <w:sz w:val="21"/>
                <w:szCs w:val="21"/>
                <w:highlight w:val="none"/>
              </w:rPr>
            </w:pPr>
            <w:r>
              <w:rPr>
                <w:rStyle w:val="44"/>
                <w:rFonts w:hint="default"/>
                <w:sz w:val="21"/>
                <w:szCs w:val="21"/>
                <w:highlight w:val="none"/>
                <w:lang w:bidi="ar"/>
              </w:rPr>
              <w:t>汞氩灯</w:t>
            </w:r>
          </w:p>
        </w:tc>
        <w:tc>
          <w:tcPr>
            <w:tcW w:w="2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AB35B">
            <w:pPr>
              <w:widowControl/>
              <w:jc w:val="center"/>
              <w:textAlignment w:val="center"/>
              <w:rPr>
                <w:rFonts w:eastAsia="等线"/>
                <w:color w:val="000000"/>
                <w:sz w:val="21"/>
                <w:szCs w:val="21"/>
                <w:highlight w:val="none"/>
              </w:rPr>
            </w:pPr>
            <w:r>
              <w:rPr>
                <w:rStyle w:val="45"/>
                <w:rFonts w:eastAsia="等线"/>
                <w:sz w:val="21"/>
                <w:szCs w:val="21"/>
                <w:highlight w:val="none"/>
                <w:lang w:bidi="ar"/>
              </w:rPr>
              <w:t>U</w:t>
            </w:r>
            <w:r>
              <w:rPr>
                <w:rFonts w:hint="eastAsia" w:eastAsia="等线"/>
                <w:color w:val="000000"/>
                <w:kern w:val="0"/>
                <w:sz w:val="21"/>
                <w:szCs w:val="21"/>
                <w:highlight w:val="none"/>
                <w:lang w:bidi="ar"/>
              </w:rPr>
              <w:t>≤</w:t>
            </w:r>
            <w:r>
              <w:rPr>
                <w:rFonts w:hint="eastAsia" w:ascii="宋体" w:hAnsi="宋体" w:eastAsia="宋体" w:cs="宋体"/>
                <w:color w:val="000000"/>
                <w:kern w:val="0"/>
                <w:sz w:val="21"/>
                <w:szCs w:val="21"/>
                <w:highlight w:val="none"/>
                <w:lang w:bidi="ar"/>
              </w:rPr>
              <w:t>0.1</w:t>
            </w:r>
            <w:r>
              <w:rPr>
                <w:rFonts w:hint="eastAsia" w:ascii="宋体" w:hAnsi="宋体" w:eastAsia="宋体" w:cs="宋体"/>
                <w:color w:val="000000"/>
                <w:kern w:val="0"/>
                <w:sz w:val="21"/>
                <w:szCs w:val="21"/>
                <w:highlight w:val="none"/>
                <w:lang w:val="en-US" w:eastAsia="zh-CN" w:bidi="ar"/>
              </w:rPr>
              <w:t>0</w:t>
            </w:r>
            <w:r>
              <w:rPr>
                <w:rFonts w:eastAsia="等线"/>
                <w:color w:val="000000"/>
                <w:kern w:val="0"/>
                <w:sz w:val="21"/>
                <w:szCs w:val="21"/>
                <w:highlight w:val="none"/>
                <w:lang w:bidi="ar"/>
              </w:rPr>
              <w:t xml:space="preserve"> nm </w:t>
            </w:r>
            <w:r>
              <w:rPr>
                <w:rStyle w:val="46"/>
                <w:rFonts w:eastAsia="等线"/>
                <w:sz w:val="21"/>
                <w:szCs w:val="21"/>
                <w:highlight w:val="none"/>
                <w:lang w:bidi="ar"/>
              </w:rPr>
              <w:t>(</w:t>
            </w:r>
            <w:r>
              <w:rPr>
                <w:rStyle w:val="45"/>
                <w:rFonts w:eastAsia="等线"/>
                <w:sz w:val="21"/>
                <w:szCs w:val="21"/>
                <w:highlight w:val="none"/>
                <w:lang w:bidi="ar"/>
              </w:rPr>
              <w:t>k</w:t>
            </w:r>
            <w:r>
              <w:rPr>
                <w:rStyle w:val="46"/>
                <w:rFonts w:eastAsia="等线"/>
                <w:sz w:val="21"/>
                <w:szCs w:val="21"/>
                <w:highlight w:val="none"/>
                <w:lang w:bidi="ar"/>
              </w:rPr>
              <w:t>=2)</w:t>
            </w:r>
          </w:p>
        </w:tc>
      </w:tr>
      <w:tr w14:paraId="56F9F9C0">
        <w:tblPrEx>
          <w:tblCellMar>
            <w:top w:w="0" w:type="dxa"/>
            <w:left w:w="108" w:type="dxa"/>
            <w:bottom w:w="0" w:type="dxa"/>
            <w:right w:w="108" w:type="dxa"/>
          </w:tblCellMar>
        </w:tblPrEx>
        <w:trPr>
          <w:trHeight w:val="462" w:hRule="atLeast"/>
          <w:jc w:val="center"/>
        </w:trPr>
        <w:tc>
          <w:tcPr>
            <w:tcW w:w="2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671E6">
            <w:pPr>
              <w:widowControl/>
              <w:jc w:val="center"/>
              <w:textAlignment w:val="center"/>
              <w:rPr>
                <w:rFonts w:hint="default" w:eastAsia="宋体"/>
                <w:color w:val="000000"/>
                <w:sz w:val="21"/>
                <w:szCs w:val="21"/>
                <w:highlight w:val="none"/>
                <w:lang w:val="en-US" w:eastAsia="zh-CN"/>
              </w:rPr>
            </w:pPr>
            <w:r>
              <w:rPr>
                <w:rStyle w:val="44"/>
                <w:rFonts w:hint="eastAsia"/>
                <w:sz w:val="21"/>
                <w:szCs w:val="21"/>
                <w:highlight w:val="none"/>
                <w:lang w:val="en-US" w:eastAsia="zh-CN" w:bidi="ar"/>
              </w:rPr>
              <w:t>荧光相对强度标准物质</w:t>
            </w:r>
          </w:p>
        </w:tc>
        <w:tc>
          <w:tcPr>
            <w:tcW w:w="27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D72E">
            <w:pPr>
              <w:widowControl/>
              <w:jc w:val="center"/>
              <w:textAlignment w:val="center"/>
              <w:rPr>
                <w:rFonts w:eastAsia="等线"/>
                <w:color w:val="000000"/>
                <w:sz w:val="21"/>
                <w:szCs w:val="21"/>
                <w:highlight w:val="none"/>
              </w:rPr>
            </w:pPr>
            <w:r>
              <w:rPr>
                <w:rStyle w:val="45"/>
                <w:rFonts w:eastAsia="等线"/>
                <w:sz w:val="21"/>
                <w:szCs w:val="21"/>
                <w:highlight w:val="none"/>
                <w:lang w:bidi="ar"/>
              </w:rPr>
              <w:t>U</w:t>
            </w:r>
            <w:r>
              <w:rPr>
                <w:rStyle w:val="48"/>
                <w:rFonts w:eastAsia="等线"/>
                <w:sz w:val="21"/>
                <w:szCs w:val="21"/>
                <w:highlight w:val="none"/>
                <w:lang w:bidi="ar"/>
              </w:rPr>
              <w:t>rel</w:t>
            </w:r>
            <w:r>
              <w:rPr>
                <w:rFonts w:hint="eastAsia" w:eastAsia="等线"/>
                <w:color w:val="000000"/>
                <w:kern w:val="0"/>
                <w:sz w:val="21"/>
                <w:szCs w:val="21"/>
                <w:highlight w:val="none"/>
                <w:lang w:bidi="ar"/>
              </w:rPr>
              <w:t>≤</w:t>
            </w:r>
            <w:r>
              <w:rPr>
                <w:rStyle w:val="46"/>
                <w:rFonts w:hint="eastAsia" w:ascii="宋体" w:hAnsi="宋体" w:cs="宋体"/>
                <w:sz w:val="21"/>
                <w:szCs w:val="21"/>
                <w:highlight w:val="none"/>
                <w:lang w:val="en-US" w:eastAsia="zh-CN" w:bidi="ar"/>
              </w:rPr>
              <w:t>15.0</w:t>
            </w:r>
            <w:r>
              <w:rPr>
                <w:rStyle w:val="46"/>
                <w:rFonts w:eastAsia="等线"/>
                <w:sz w:val="21"/>
                <w:szCs w:val="21"/>
                <w:highlight w:val="none"/>
                <w:lang w:bidi="ar"/>
              </w:rPr>
              <w:t>% (</w:t>
            </w:r>
            <w:r>
              <w:rPr>
                <w:rStyle w:val="45"/>
                <w:rFonts w:eastAsia="等线"/>
                <w:sz w:val="21"/>
                <w:szCs w:val="21"/>
                <w:highlight w:val="none"/>
                <w:lang w:bidi="ar"/>
              </w:rPr>
              <w:t>k</w:t>
            </w:r>
            <w:r>
              <w:rPr>
                <w:rStyle w:val="46"/>
                <w:rFonts w:eastAsia="等线"/>
                <w:sz w:val="21"/>
                <w:szCs w:val="21"/>
                <w:highlight w:val="none"/>
                <w:lang w:bidi="ar"/>
              </w:rPr>
              <w:t>=</w:t>
            </w:r>
            <w:r>
              <w:rPr>
                <w:rStyle w:val="46"/>
                <w:rFonts w:hint="eastAsia" w:ascii="宋体" w:hAnsi="宋体" w:eastAsia="宋体" w:cs="宋体"/>
                <w:sz w:val="21"/>
                <w:szCs w:val="21"/>
                <w:highlight w:val="none"/>
                <w:lang w:bidi="ar"/>
              </w:rPr>
              <w:t>2</w:t>
            </w:r>
            <w:r>
              <w:rPr>
                <w:rStyle w:val="46"/>
                <w:rFonts w:eastAsia="等线"/>
                <w:sz w:val="21"/>
                <w:szCs w:val="21"/>
                <w:highlight w:val="none"/>
                <w:lang w:bidi="ar"/>
              </w:rPr>
              <w:t>)</w:t>
            </w:r>
          </w:p>
        </w:tc>
      </w:tr>
    </w:tbl>
    <w:p w14:paraId="47D5A144">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lang w:eastAsia="zh-CN"/>
        </w:rPr>
      </w:pPr>
      <w:bookmarkStart w:id="45" w:name="_Toc16039"/>
      <w:r>
        <w:rPr>
          <w:rFonts w:hint="eastAsia" w:eastAsia="黑体" w:cs="Times New Roman"/>
          <w:sz w:val="24"/>
          <w:szCs w:val="24"/>
          <w:highlight w:val="none"/>
          <w:lang w:val="en-US" w:eastAsia="zh-CN"/>
        </w:rPr>
        <w:t>7</w:t>
      </w:r>
      <w:r>
        <w:rPr>
          <w:rFonts w:hint="eastAsia" w:eastAsia="黑体" w:cs="Times New Roman"/>
          <w:sz w:val="24"/>
          <w:szCs w:val="24"/>
          <w:highlight w:val="none"/>
        </w:rPr>
        <w:t xml:space="preserve">  校准项目和校准方法</w:t>
      </w:r>
      <w:bookmarkEnd w:id="45"/>
    </w:p>
    <w:p w14:paraId="7B7410F3">
      <w:pPr>
        <w:spacing w:line="360" w:lineRule="auto"/>
        <w:outlineLvl w:val="1"/>
        <w:rPr>
          <w:sz w:val="24"/>
          <w:highlight w:val="none"/>
        </w:rPr>
      </w:pPr>
      <w:bookmarkStart w:id="46" w:name="_Toc27212"/>
      <w:bookmarkStart w:id="47" w:name="_Toc17147"/>
      <w:bookmarkStart w:id="48" w:name="_Toc25022"/>
      <w:bookmarkStart w:id="49" w:name="_Toc24712"/>
      <w:bookmarkStart w:id="50" w:name="_Toc13286"/>
      <w:bookmarkStart w:id="51" w:name="_Toc19540"/>
      <w:r>
        <w:rPr>
          <w:rFonts w:hint="eastAsia" w:ascii="宋体" w:hAnsi="宋体" w:cs="宋体"/>
          <w:sz w:val="24"/>
          <w:highlight w:val="none"/>
          <w:lang w:val="en-US" w:eastAsia="zh-CN"/>
        </w:rPr>
        <w:t>7</w:t>
      </w:r>
      <w:r>
        <w:rPr>
          <w:rFonts w:hint="eastAsia" w:ascii="宋体" w:hAnsi="宋体" w:cs="宋体"/>
          <w:sz w:val="24"/>
          <w:highlight w:val="none"/>
        </w:rPr>
        <w:t xml:space="preserve">.1  </w:t>
      </w:r>
      <w:r>
        <w:rPr>
          <w:rFonts w:hint="eastAsia"/>
          <w:sz w:val="24"/>
          <w:highlight w:val="none"/>
        </w:rPr>
        <w:t>校准前准备</w:t>
      </w:r>
      <w:bookmarkEnd w:id="46"/>
      <w:bookmarkEnd w:id="47"/>
      <w:bookmarkEnd w:id="48"/>
      <w:bookmarkEnd w:id="49"/>
      <w:bookmarkEnd w:id="50"/>
      <w:bookmarkEnd w:id="51"/>
    </w:p>
    <w:p w14:paraId="34B93E57">
      <w:pPr>
        <w:spacing w:line="360" w:lineRule="auto"/>
        <w:ind w:firstLine="480" w:firstLineChars="200"/>
        <w:rPr>
          <w:sz w:val="24"/>
          <w:highlight w:val="none"/>
        </w:rPr>
      </w:pPr>
      <w:r>
        <w:rPr>
          <w:rFonts w:hint="eastAsia" w:ascii="宋体" w:hAnsi="宋体" w:cs="宋体"/>
          <w:sz w:val="24"/>
          <w:highlight w:val="none"/>
          <w:lang w:val="en-US" w:eastAsia="zh-CN"/>
        </w:rPr>
        <w:t>检查荧光光谱仪，确认</w:t>
      </w:r>
      <w:r>
        <w:rPr>
          <w:rFonts w:hint="eastAsia" w:ascii="宋体" w:hAnsi="宋体" w:cs="宋体"/>
          <w:sz w:val="24"/>
          <w:highlight w:val="none"/>
        </w:rPr>
        <w:t>所有紧固件均应安装牢固，连接件（如光纤）应连接良好，软件能正常工作。开</w:t>
      </w:r>
      <w:r>
        <w:rPr>
          <w:rFonts w:hint="eastAsia" w:ascii="宋体" w:hAnsi="宋体" w:cs="宋体"/>
          <w:sz w:val="24"/>
          <w:highlight w:val="none"/>
          <w:lang w:val="en-US" w:eastAsia="zh-CN"/>
        </w:rPr>
        <w:t>启荧光光谱仪</w:t>
      </w:r>
      <w:r>
        <w:rPr>
          <w:rFonts w:hint="eastAsia" w:ascii="宋体" w:hAnsi="宋体" w:cs="宋体"/>
          <w:sz w:val="24"/>
          <w:highlight w:val="none"/>
        </w:rPr>
        <w:t xml:space="preserve">，将光源（氙灯）进行预热，氙灯预热时间≥30 </w:t>
      </w:r>
      <w:r>
        <w:rPr>
          <w:sz w:val="24"/>
          <w:highlight w:val="none"/>
        </w:rPr>
        <w:t>min</w:t>
      </w:r>
      <w:r>
        <w:rPr>
          <w:rFonts w:hint="eastAsia"/>
          <w:sz w:val="24"/>
          <w:highlight w:val="none"/>
        </w:rPr>
        <w:t>。</w:t>
      </w:r>
    </w:p>
    <w:p w14:paraId="76E072E2">
      <w:pPr>
        <w:spacing w:line="360" w:lineRule="auto"/>
        <w:outlineLvl w:val="1"/>
        <w:rPr>
          <w:rFonts w:hint="eastAsia" w:eastAsia="宋体"/>
          <w:sz w:val="24"/>
          <w:highlight w:val="none"/>
          <w:lang w:val="en-US" w:eastAsia="zh-CN"/>
        </w:rPr>
      </w:pPr>
      <w:bookmarkStart w:id="52" w:name="_Toc20589"/>
      <w:bookmarkStart w:id="53" w:name="_Toc17325"/>
      <w:bookmarkStart w:id="54" w:name="_Toc3453"/>
      <w:bookmarkStart w:id="55" w:name="_Toc28589"/>
      <w:bookmarkStart w:id="56" w:name="_Toc22826"/>
      <w:bookmarkStart w:id="57" w:name="_Toc23235"/>
      <w:r>
        <w:rPr>
          <w:rFonts w:hint="eastAsia" w:ascii="宋体" w:hAnsi="宋体" w:cs="宋体"/>
          <w:sz w:val="24"/>
          <w:highlight w:val="none"/>
          <w:lang w:val="en-US" w:eastAsia="zh-CN"/>
        </w:rPr>
        <w:t>7</w:t>
      </w:r>
      <w:r>
        <w:rPr>
          <w:rFonts w:hint="eastAsia" w:ascii="宋体" w:hAnsi="宋体" w:cs="宋体"/>
          <w:sz w:val="24"/>
          <w:highlight w:val="none"/>
        </w:rPr>
        <w:t xml:space="preserve">.2 </w:t>
      </w:r>
      <w:bookmarkEnd w:id="52"/>
      <w:bookmarkStart w:id="58" w:name="_Toc10818"/>
      <w:r>
        <w:rPr>
          <w:rFonts w:hint="eastAsia" w:ascii="宋体" w:hAnsi="宋体" w:cs="宋体"/>
          <w:sz w:val="24"/>
          <w:highlight w:val="none"/>
        </w:rPr>
        <w:t xml:space="preserve"> 发</w:t>
      </w:r>
      <w:r>
        <w:rPr>
          <w:rFonts w:hint="eastAsia"/>
          <w:sz w:val="24"/>
          <w:highlight w:val="none"/>
        </w:rPr>
        <w:t>射侧单色器波长</w:t>
      </w:r>
      <w:bookmarkEnd w:id="53"/>
      <w:bookmarkEnd w:id="54"/>
      <w:bookmarkEnd w:id="55"/>
      <w:bookmarkEnd w:id="56"/>
      <w:bookmarkEnd w:id="58"/>
      <w:r>
        <w:rPr>
          <w:rFonts w:hint="eastAsia"/>
          <w:sz w:val="24"/>
          <w:highlight w:val="none"/>
          <w:lang w:val="en-US" w:eastAsia="zh-CN"/>
        </w:rPr>
        <w:t>校准</w:t>
      </w:r>
      <w:bookmarkEnd w:id="57"/>
    </w:p>
    <w:p w14:paraId="6F686FBA">
      <w:pPr>
        <w:spacing w:line="360" w:lineRule="auto"/>
        <w:ind w:firstLine="480" w:firstLineChars="200"/>
        <w:rPr>
          <w:sz w:val="24"/>
          <w:highlight w:val="none"/>
        </w:rPr>
      </w:pPr>
      <w:r>
        <w:rPr>
          <w:rFonts w:hint="eastAsia"/>
          <w:sz w:val="24"/>
          <w:highlight w:val="none"/>
        </w:rPr>
        <w:t>将汞氩灯放置于</w:t>
      </w:r>
      <w:r>
        <w:rPr>
          <w:rFonts w:hint="eastAsia"/>
          <w:sz w:val="24"/>
          <w:highlight w:val="none"/>
          <w:lang w:val="en-US" w:eastAsia="zh-CN"/>
        </w:rPr>
        <w:t>荧光光谱仪</w:t>
      </w:r>
      <w:r>
        <w:rPr>
          <w:rFonts w:hint="eastAsia"/>
          <w:sz w:val="24"/>
          <w:highlight w:val="none"/>
        </w:rPr>
        <w:t>发射侧单色器的入口处进行测量，采集汞氩灯</w:t>
      </w:r>
      <w:r>
        <w:rPr>
          <w:rFonts w:hint="eastAsia" w:ascii="宋体" w:hAnsi="宋体" w:cs="宋体"/>
          <w:sz w:val="24"/>
          <w:highlight w:val="none"/>
        </w:rPr>
        <w:t>365</w:t>
      </w:r>
      <w:r>
        <w:rPr>
          <w:rFonts w:hint="eastAsia" w:ascii="宋体" w:hAnsi="宋体" w:cs="宋体"/>
          <w:sz w:val="24"/>
          <w:highlight w:val="none"/>
          <w:lang w:val="en-US" w:eastAsia="zh-CN"/>
        </w:rPr>
        <w:t xml:space="preserve"> </w:t>
      </w:r>
      <w:r>
        <w:rPr>
          <w:rFonts w:hint="eastAsia"/>
          <w:sz w:val="24"/>
          <w:highlight w:val="none"/>
        </w:rPr>
        <w:t>nm</w:t>
      </w:r>
      <w:r>
        <w:rPr>
          <w:rFonts w:hint="eastAsia"/>
          <w:sz w:val="24"/>
          <w:highlight w:val="none"/>
          <w:lang w:val="en-US" w:eastAsia="zh-CN"/>
        </w:rPr>
        <w:t>附近</w:t>
      </w:r>
      <w:r>
        <w:rPr>
          <w:rFonts w:hint="eastAsia"/>
          <w:sz w:val="24"/>
          <w:highlight w:val="none"/>
        </w:rPr>
        <w:t>特征峰波长</w:t>
      </w:r>
      <w:r>
        <w:rPr>
          <w:i/>
          <w:iCs/>
          <w:sz w:val="24"/>
          <w:highlight w:val="none"/>
        </w:rPr>
        <w:t>λ</w:t>
      </w:r>
      <w:r>
        <w:rPr>
          <w:rFonts w:hint="eastAsia"/>
          <w:sz w:val="24"/>
          <w:highlight w:val="none"/>
          <w:vertAlign w:val="subscript"/>
        </w:rPr>
        <w:t>em</w:t>
      </w:r>
      <w:r>
        <w:rPr>
          <w:rFonts w:hint="eastAsia"/>
          <w:sz w:val="24"/>
          <w:highlight w:val="none"/>
        </w:rPr>
        <w:t>，比较</w:t>
      </w:r>
      <w:r>
        <w:rPr>
          <w:i/>
          <w:iCs/>
          <w:sz w:val="24"/>
          <w:highlight w:val="none"/>
        </w:rPr>
        <w:t>λ</w:t>
      </w:r>
      <w:r>
        <w:rPr>
          <w:rFonts w:hint="eastAsia"/>
          <w:sz w:val="24"/>
          <w:highlight w:val="none"/>
          <w:vertAlign w:val="subscript"/>
        </w:rPr>
        <w:t>em</w:t>
      </w:r>
      <w:r>
        <w:rPr>
          <w:rFonts w:hint="eastAsia"/>
          <w:sz w:val="24"/>
          <w:highlight w:val="none"/>
        </w:rPr>
        <w:t>与标准值</w:t>
      </w:r>
      <w:r>
        <w:rPr>
          <w:rFonts w:hint="eastAsia" w:ascii="宋体" w:hAnsi="宋体" w:cs="宋体"/>
          <w:sz w:val="24"/>
          <w:highlight w:val="none"/>
        </w:rPr>
        <w:t xml:space="preserve">365.02 </w:t>
      </w:r>
      <w:r>
        <w:rPr>
          <w:rFonts w:hint="eastAsia"/>
          <w:sz w:val="24"/>
          <w:highlight w:val="none"/>
        </w:rPr>
        <w:t>nm，如果有偏差，则调整发射侧单色器的光栅，将特征峰的量值调整为</w:t>
      </w:r>
      <w:r>
        <w:rPr>
          <w:rFonts w:hint="eastAsia" w:ascii="宋体" w:hAnsi="宋体" w:cs="宋体"/>
          <w:sz w:val="24"/>
          <w:highlight w:val="none"/>
        </w:rPr>
        <w:t xml:space="preserve">365.02 </w:t>
      </w:r>
      <w:r>
        <w:rPr>
          <w:rFonts w:hint="eastAsia"/>
          <w:sz w:val="24"/>
          <w:highlight w:val="none"/>
        </w:rPr>
        <w:t>nm，从而完成对发射侧单色器波长的校准。</w:t>
      </w:r>
    </w:p>
    <w:p w14:paraId="163BDFD9">
      <w:pPr>
        <w:spacing w:line="360" w:lineRule="auto"/>
        <w:outlineLvl w:val="1"/>
        <w:rPr>
          <w:sz w:val="24"/>
          <w:highlight w:val="none"/>
        </w:rPr>
      </w:pPr>
      <w:bookmarkStart w:id="59" w:name="_Toc5874"/>
      <w:bookmarkStart w:id="60" w:name="_Toc3663"/>
      <w:bookmarkStart w:id="61" w:name="_Toc23570"/>
      <w:bookmarkStart w:id="62" w:name="_Toc23816"/>
      <w:bookmarkStart w:id="63" w:name="_Toc7635"/>
      <w:bookmarkStart w:id="64" w:name="_Toc25566"/>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eastAsia="zh-CN"/>
        </w:rPr>
        <w:t>3</w:t>
      </w:r>
      <w:r>
        <w:rPr>
          <w:rFonts w:hint="eastAsia" w:ascii="宋体" w:hAnsi="宋体" w:cs="宋体"/>
          <w:sz w:val="24"/>
          <w:highlight w:val="none"/>
        </w:rPr>
        <w:t xml:space="preserve">  </w:t>
      </w:r>
      <w:r>
        <w:rPr>
          <w:rFonts w:hint="eastAsia"/>
          <w:sz w:val="24"/>
          <w:highlight w:val="none"/>
        </w:rPr>
        <w:t>荧光相对强度校准曲线</w:t>
      </w:r>
      <w:bookmarkEnd w:id="59"/>
      <w:bookmarkEnd w:id="60"/>
      <w:bookmarkEnd w:id="61"/>
      <w:bookmarkEnd w:id="62"/>
      <w:bookmarkEnd w:id="63"/>
      <w:bookmarkEnd w:id="64"/>
    </w:p>
    <w:p w14:paraId="208D442E">
      <w:pPr>
        <w:spacing w:line="360" w:lineRule="auto"/>
        <w:rPr>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 xml:space="preserve">.1  </w:t>
      </w:r>
      <w:r>
        <w:rPr>
          <w:rFonts w:hint="eastAsia"/>
          <w:sz w:val="24"/>
          <w:highlight w:val="none"/>
        </w:rPr>
        <w:t>荧光相对强度标准光谱</w:t>
      </w:r>
    </w:p>
    <w:p w14:paraId="53A41777">
      <w:pPr>
        <w:autoSpaceDE w:val="0"/>
        <w:autoSpaceDN w:val="0"/>
        <w:adjustRightInd w:val="0"/>
        <w:spacing w:line="360" w:lineRule="auto"/>
        <w:ind w:firstLine="480" w:firstLineChars="200"/>
        <w:rPr>
          <w:rFonts w:hint="default"/>
          <w:sz w:val="24"/>
          <w:highlight w:val="none"/>
          <w:lang w:val="en-US" w:eastAsia="zh-CN"/>
        </w:rPr>
      </w:pPr>
      <w:r>
        <w:rPr>
          <w:rFonts w:hint="eastAsia"/>
          <w:sz w:val="24"/>
          <w:highlight w:val="none"/>
          <w:lang w:val="en-US" w:eastAsia="zh-CN"/>
        </w:rPr>
        <w:t>荧光相对强度标准光谱为荧光相对强度标准物质证书中给出的标准光谱</w:t>
      </w: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s</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hAnsi="Cambria Math"/>
          <w:b w:val="0"/>
          <w:i w:val="0"/>
          <w:sz w:val="24"/>
          <w:highlight w:val="none"/>
          <w:lang w:val="en-US" w:eastAsia="zh-CN"/>
        </w:rPr>
        <w:t>，即不同波长下对应的相对强度值</w:t>
      </w:r>
      <w:r>
        <w:rPr>
          <w:rFonts w:hint="eastAsia"/>
          <w:sz w:val="24"/>
          <w:highlight w:val="none"/>
          <w:lang w:val="en-US" w:eastAsia="zh-CN"/>
        </w:rPr>
        <w:t>。</w:t>
      </w:r>
    </w:p>
    <w:p w14:paraId="0A14D4B2">
      <w:pPr>
        <w:autoSpaceDE w:val="0"/>
        <w:autoSpaceDN w:val="0"/>
        <w:adjustRightInd w:val="0"/>
        <w:spacing w:line="360" w:lineRule="auto"/>
        <w:ind w:firstLine="0" w:firstLineChars="0"/>
        <w:rPr>
          <w:rFonts w:hint="default" w:eastAsia="宋体"/>
          <w:sz w:val="24"/>
          <w:highlight w:val="none"/>
          <w:lang w:val="en-US" w:eastAsia="zh-CN"/>
        </w:rPr>
      </w:pPr>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 xml:space="preserve">.2  </w:t>
      </w:r>
      <w:r>
        <w:rPr>
          <w:rFonts w:hint="eastAsia" w:ascii="宋体" w:hAnsi="宋体" w:cs="宋体"/>
          <w:sz w:val="24"/>
          <w:highlight w:val="none"/>
          <w:lang w:val="en-US" w:eastAsia="zh-CN"/>
        </w:rPr>
        <w:t>荧光相对强度</w:t>
      </w:r>
      <w:r>
        <w:rPr>
          <w:rFonts w:hint="eastAsia"/>
          <w:sz w:val="24"/>
          <w:highlight w:val="none"/>
        </w:rPr>
        <w:t>测量光谱</w:t>
      </w:r>
    </w:p>
    <w:p w14:paraId="4EE0C85F">
      <w:pPr>
        <w:autoSpaceDE w:val="0"/>
        <w:autoSpaceDN w:val="0"/>
        <w:adjustRightInd w:val="0"/>
        <w:spacing w:line="360" w:lineRule="auto"/>
        <w:ind w:firstLine="480" w:firstLineChars="200"/>
        <w:rPr>
          <w:rFonts w:hint="eastAsia"/>
          <w:sz w:val="24"/>
          <w:highlight w:val="none"/>
          <w:lang w:eastAsia="zh-CN"/>
        </w:rPr>
      </w:pPr>
      <w:r>
        <w:rPr>
          <w:rFonts w:hint="eastAsia"/>
          <w:sz w:val="24"/>
          <w:highlight w:val="none"/>
        </w:rPr>
        <w:t>将满足</w:t>
      </w:r>
      <w:r>
        <w:rPr>
          <w:rStyle w:val="44"/>
          <w:sz w:val="24"/>
          <w:szCs w:val="24"/>
          <w:highlight w:val="none"/>
          <w:lang w:bidi="ar"/>
        </w:rPr>
        <w:t>计量特性指标</w:t>
      </w:r>
      <w:r>
        <w:rPr>
          <w:rFonts w:hint="eastAsia"/>
          <w:sz w:val="24"/>
          <w:highlight w:val="none"/>
        </w:rPr>
        <w:t>的</w:t>
      </w:r>
      <w:r>
        <w:rPr>
          <w:rFonts w:hint="eastAsia"/>
          <w:sz w:val="24"/>
          <w:highlight w:val="none"/>
          <w:lang w:val="en-US" w:eastAsia="zh-CN"/>
        </w:rPr>
        <w:t>荧光相对强度标准物质放置于荧光光谱仪样品仓或积分球中</w:t>
      </w:r>
      <w:r>
        <w:rPr>
          <w:rFonts w:hint="eastAsia"/>
          <w:sz w:val="24"/>
          <w:highlight w:val="none"/>
        </w:rPr>
        <w:t>，</w:t>
      </w:r>
      <w:r>
        <w:rPr>
          <w:rFonts w:hint="eastAsia"/>
          <w:sz w:val="24"/>
          <w:highlight w:val="none"/>
          <w:lang w:val="en-US" w:eastAsia="zh-CN"/>
        </w:rPr>
        <w:t>采用标准物质证书中规定的激发波长对标准物质进行激发，</w:t>
      </w:r>
      <w:r>
        <w:rPr>
          <w:rFonts w:hint="eastAsia"/>
          <w:sz w:val="24"/>
          <w:highlight w:val="none"/>
        </w:rPr>
        <w:t>在测量线性区间内，分别测量</w:t>
      </w:r>
      <w:r>
        <w:rPr>
          <w:rFonts w:hint="eastAsia"/>
          <w:sz w:val="24"/>
          <w:highlight w:val="none"/>
          <w:lang w:val="en-US" w:eastAsia="zh-CN"/>
        </w:rPr>
        <w:t>标准物质被测样品（含有发光材料）的发射光谱（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s</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）和空白样品的发射光谱（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b</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）5</w:t>
      </w:r>
      <w:r>
        <w:rPr>
          <w:rFonts w:hint="eastAsia" w:hAnsi="Cambria Math"/>
          <w:i w:val="0"/>
          <w:sz w:val="24"/>
          <w:highlight w:val="none"/>
          <w:lang w:val="en-US" w:eastAsia="zh-CN"/>
        </w:rPr>
        <w:t>次，计算</w:t>
      </w:r>
      <w:r>
        <w:rPr>
          <w:rFonts w:hint="eastAsia"/>
          <w:sz w:val="24"/>
          <w:highlight w:val="none"/>
          <w:lang w:val="en-US" w:eastAsia="zh-CN"/>
        </w:rPr>
        <w:t>被测样品</w:t>
      </w:r>
      <w:r>
        <w:rPr>
          <w:rFonts w:hint="eastAsia" w:hAnsi="Cambria Math"/>
          <w:i w:val="0"/>
          <w:sz w:val="24"/>
          <w:highlight w:val="none"/>
          <w:lang w:val="en-US" w:eastAsia="zh-CN"/>
        </w:rPr>
        <w:t>扣除空白样品光谱后并</w:t>
      </w:r>
      <w:r>
        <w:rPr>
          <w:rFonts w:hint="eastAsia"/>
          <w:iCs/>
          <w:sz w:val="24"/>
          <w:highlight w:val="none"/>
          <w:lang w:val="en-US" w:eastAsia="zh-CN"/>
        </w:rPr>
        <w:t>归一化得到荧光相对强度光谱</w:t>
      </w:r>
      <w:r>
        <w:rPr>
          <w:rFonts w:hint="eastAsia"/>
          <w:sz w:val="24"/>
          <w:highlight w:val="none"/>
          <w:lang w:eastAsia="zh-CN"/>
        </w:rPr>
        <w:t>：</w:t>
      </w:r>
    </w:p>
    <w:p w14:paraId="2C3E6377">
      <w:pPr>
        <w:autoSpaceDE w:val="0"/>
        <w:autoSpaceDN w:val="0"/>
        <w:adjustRightInd w:val="0"/>
        <w:spacing w:line="360" w:lineRule="auto"/>
        <w:jc w:val="right"/>
        <w:rPr>
          <w:rFonts w:hint="eastAsia"/>
          <w:sz w:val="24"/>
          <w:highlight w:val="none"/>
          <w:vertAlign w:val="subscript"/>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r>
                  <m:rPr>
                    <m:sty m:val="p"/>
                  </m:rPr>
                  <w:rPr>
                    <w:rFonts w:hint="eastAsia" w:ascii="Cambria Math" w:hAnsi="Cambria Math"/>
                    <w:sz w:val="24"/>
                    <w:highlight w:val="none"/>
                    <w:lang w:val="en-US" w:eastAsia="zh-CN"/>
                  </w:rPr>
                  <m:t>ax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1</w:t>
      </w:r>
      <w:r>
        <w:rPr>
          <w:rFonts w:hint="eastAsia" w:ascii="宋体" w:hAnsi="宋体" w:cs="宋体"/>
          <w:sz w:val="24"/>
          <w:highlight w:val="none"/>
        </w:rPr>
        <w:t>）</w:t>
      </w:r>
      <w:r>
        <w:rPr>
          <w:rFonts w:hint="eastAsia"/>
          <w:sz w:val="24"/>
          <w:highlight w:val="none"/>
          <w:vertAlign w:val="subscript"/>
        </w:rPr>
        <w:t xml:space="preserve">  </w:t>
      </w:r>
    </w:p>
    <w:p w14:paraId="1EA1336C">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6E762ABD">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测量的标准物质</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484A17E8">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测量的标准物质被测样品的</w:t>
      </w:r>
      <w:r>
        <w:rPr>
          <w:rFonts w:hint="eastAsia"/>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7F117649">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测量的标准物质空白样品的</w:t>
      </w:r>
      <w:r>
        <w:rPr>
          <w:rFonts w:hint="eastAsia"/>
          <w:sz w:val="24"/>
          <w:highlight w:val="none"/>
        </w:rPr>
        <w:t>光谱</w:t>
      </w:r>
      <w:r>
        <w:rPr>
          <w:rFonts w:hint="eastAsia"/>
          <w:sz w:val="24"/>
          <w:highlight w:val="none"/>
          <w:lang w:val="en-US" w:eastAsia="zh-CN"/>
        </w:rPr>
        <w:t>，</w:t>
      </w:r>
      <w:r>
        <w:rPr>
          <w:rFonts w:hint="eastAsia"/>
          <w:sz w:val="24"/>
          <w:highlight w:val="none"/>
        </w:rPr>
        <w:t>纵坐标单位为</w:t>
      </w:r>
      <w:r>
        <w:rPr>
          <w:sz w:val="24"/>
          <w:highlight w:val="none"/>
        </w:rPr>
        <w:t>1/s</w:t>
      </w:r>
      <w:r>
        <w:rPr>
          <w:iCs/>
          <w:sz w:val="24"/>
          <w:highlight w:val="none"/>
        </w:rPr>
        <w:t>；</w:t>
      </w:r>
    </w:p>
    <w:p w14:paraId="3A366027">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sz w:val="24"/>
          <w:highlight w:val="none"/>
          <w:vertAlign w:val="subscript"/>
          <w:lang w:val="en-US" w:eastAsia="zh-CN"/>
        </w:rPr>
        <w:t>ax</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最大荧光强度</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8A0B6BE">
      <w:pPr>
        <w:autoSpaceDE w:val="0"/>
        <w:autoSpaceDN w:val="0"/>
        <w:adjustRightInd w:val="0"/>
        <w:spacing w:line="360" w:lineRule="auto"/>
        <w:ind w:firstLine="480" w:firstLineChars="200"/>
        <w:jc w:val="left"/>
        <w:rPr>
          <w:rFonts w:hint="eastAsia"/>
          <w:sz w:val="24"/>
          <w:highlight w:val="none"/>
        </w:rPr>
      </w:pPr>
      <w:r>
        <w:rPr>
          <w:i/>
          <w:iCs/>
          <w:sz w:val="24"/>
          <w:highlight w:val="none"/>
        </w:rPr>
        <w:t>λ</w:t>
      </w:r>
      <w:r>
        <w:rPr>
          <w:iCs/>
          <w:sz w:val="24"/>
          <w:highlight w:val="none"/>
        </w:rPr>
        <w:t>——</w:t>
      </w:r>
      <w:r>
        <w:rPr>
          <w:sz w:val="24"/>
          <w:highlight w:val="none"/>
        </w:rPr>
        <w:t>波长，nm</w:t>
      </w:r>
      <w:r>
        <w:rPr>
          <w:rFonts w:hint="eastAsia"/>
          <w:sz w:val="24"/>
          <w:highlight w:val="none"/>
        </w:rPr>
        <w:t>。</w:t>
      </w:r>
    </w:p>
    <w:p w14:paraId="7A482F5D">
      <w:pPr>
        <w:autoSpaceDE w:val="0"/>
        <w:autoSpaceDN w:val="0"/>
        <w:adjustRightInd w:val="0"/>
        <w:spacing w:line="360" w:lineRule="auto"/>
        <w:ind w:firstLine="480" w:firstLineChars="200"/>
        <w:rPr>
          <w:rFonts w:hint="eastAsia"/>
          <w:sz w:val="24"/>
          <w:highlight w:val="none"/>
          <w:lang w:val="en-US" w:eastAsia="zh-CN"/>
        </w:rPr>
      </w:pPr>
      <w:r>
        <w:rPr>
          <w:rFonts w:hint="eastAsia"/>
          <w:sz w:val="24"/>
          <w:highlight w:val="none"/>
          <w:lang w:val="en-US" w:eastAsia="zh-CN"/>
        </w:rPr>
        <w:t>将5</w:t>
      </w:r>
      <w:r>
        <w:rPr>
          <w:rFonts w:hint="eastAsia" w:hAnsi="Cambria Math"/>
          <w:i w:val="0"/>
          <w:sz w:val="24"/>
          <w:highlight w:val="none"/>
          <w:lang w:val="en-US" w:eastAsia="zh-CN"/>
        </w:rPr>
        <w:t>次测量得到的</w:t>
      </w:r>
      <w:r>
        <w:rPr>
          <w:rFonts w:hint="eastAsia"/>
          <w:iCs/>
          <w:sz w:val="24"/>
          <w:highlight w:val="none"/>
          <w:lang w:val="en-US" w:eastAsia="zh-CN"/>
        </w:rPr>
        <w:t>荧光相对强度光谱计算平均值得到</w:t>
      </w:r>
      <w:r>
        <w:rPr>
          <w:rFonts w:hint="eastAsia" w:ascii="宋体" w:hAnsi="宋体" w:cs="宋体"/>
          <w:sz w:val="24"/>
          <w:highlight w:val="none"/>
          <w:lang w:val="en-US" w:eastAsia="zh-CN"/>
        </w:rPr>
        <w:t>荧光相对强度</w:t>
      </w:r>
      <w:r>
        <w:rPr>
          <w:rFonts w:hint="eastAsia"/>
          <w:sz w:val="24"/>
          <w:highlight w:val="none"/>
        </w:rPr>
        <w:t>测量光谱</w:t>
      </w:r>
      <w:r>
        <w:rPr>
          <w:rFonts w:hint="eastAsia"/>
          <w:sz w:val="24"/>
          <w:highlight w:val="none"/>
          <w:lang w:eastAsia="zh-CN"/>
        </w:rPr>
        <w:t>：</w:t>
      </w:r>
      <w:r>
        <w:rPr>
          <w:rFonts w:hint="eastAsia"/>
          <w:sz w:val="24"/>
          <w:highlight w:val="none"/>
          <w:vertAlign w:val="subscript"/>
        </w:rPr>
        <w:t xml:space="preserve">     </w:t>
      </w:r>
    </w:p>
    <w:p w14:paraId="47338474">
      <w:pPr>
        <w:spacing w:line="360" w:lineRule="auto"/>
        <w:jc w:val="right"/>
        <w:rPr>
          <w:rFonts w:hint="eastAsia" w:ascii="宋体" w:hAnsi="宋体" w:cs="宋体"/>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nary>
            <m:ctrlPr>
              <w:rPr>
                <w:rFonts w:hint="default" w:ascii="Cambria Math" w:hAnsi="Cambria Math"/>
                <w:sz w:val="24"/>
                <w:highlight w:val="none"/>
              </w:rPr>
            </m:ctrlPr>
          </m:num>
          <m:den>
            <m:r>
              <m:rPr/>
              <w:rPr>
                <w:rFonts w:hint="default" w:ascii="Cambria Math" w:hAnsi="Cambria Math"/>
                <w:sz w:val="24"/>
                <w:highlight w:val="none"/>
                <w:lang w:val="en-US" w:eastAsia="zh-CN"/>
              </w:rPr>
              <m:t>n</m:t>
            </m:r>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w:t>
      </w:r>
    </w:p>
    <w:p w14:paraId="44FF1513">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18088CCE">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73CABF16">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58410F5">
      <w:pPr>
        <w:autoSpaceDE w:val="0"/>
        <w:autoSpaceDN w:val="0"/>
        <w:adjustRightInd w:val="0"/>
        <w:spacing w:line="360" w:lineRule="auto"/>
        <w:ind w:firstLine="480" w:firstLineChars="200"/>
        <w:jc w:val="left"/>
        <w:rPr>
          <w:rFonts w:hint="eastAsia" w:eastAsia="宋体"/>
          <w:sz w:val="24"/>
          <w:highlight w:val="none"/>
          <w:lang w:eastAsia="zh-CN"/>
        </w:rPr>
      </w:pPr>
      <w:r>
        <w:rPr>
          <w:i/>
          <w:iCs/>
          <w:sz w:val="24"/>
          <w:highlight w:val="none"/>
        </w:rPr>
        <w:t>λ</w:t>
      </w:r>
      <w:r>
        <w:rPr>
          <w:iCs/>
          <w:sz w:val="24"/>
          <w:highlight w:val="none"/>
        </w:rPr>
        <w:t>——</w:t>
      </w:r>
      <w:r>
        <w:rPr>
          <w:sz w:val="24"/>
          <w:highlight w:val="none"/>
        </w:rPr>
        <w:t>波长，nm</w:t>
      </w:r>
      <w:r>
        <w:rPr>
          <w:rFonts w:hint="eastAsia"/>
          <w:sz w:val="24"/>
          <w:highlight w:val="none"/>
          <w:lang w:eastAsia="zh-CN"/>
        </w:rPr>
        <w:t>；</w:t>
      </w:r>
    </w:p>
    <w:p w14:paraId="76058FEF">
      <w:pPr>
        <w:autoSpaceDE w:val="0"/>
        <w:autoSpaceDN w:val="0"/>
        <w:adjustRightInd w:val="0"/>
        <w:spacing w:line="360" w:lineRule="auto"/>
        <w:ind w:firstLine="480" w:firstLineChars="200"/>
        <w:jc w:val="left"/>
        <w:rPr>
          <w:rFonts w:hint="eastAsia"/>
          <w:i/>
          <w:iCs/>
          <w:sz w:val="24"/>
          <w:highlight w:val="none"/>
        </w:rPr>
      </w:pPr>
      <w:r>
        <w:rPr>
          <w:rFonts w:hint="eastAsia"/>
          <w:i/>
          <w:iCs/>
          <w:sz w:val="24"/>
          <w:highlight w:val="none"/>
        </w:rPr>
        <w:t>n</w:t>
      </w:r>
      <w:r>
        <w:rPr>
          <w:i w:val="0"/>
          <w:iCs w:val="0"/>
          <w:sz w:val="24"/>
          <w:highlight w:val="none"/>
        </w:rPr>
        <w:t>——</w:t>
      </w:r>
      <w:r>
        <w:rPr>
          <w:rFonts w:hint="eastAsia"/>
          <w:i w:val="0"/>
          <w:iCs w:val="0"/>
          <w:sz w:val="24"/>
          <w:highlight w:val="none"/>
        </w:rPr>
        <w:t>测量次数。</w:t>
      </w:r>
    </w:p>
    <w:p w14:paraId="4634E3E0">
      <w:pPr>
        <w:autoSpaceDE w:val="0"/>
        <w:autoSpaceDN w:val="0"/>
        <w:adjustRightInd w:val="0"/>
        <w:spacing w:line="360" w:lineRule="auto"/>
        <w:ind w:firstLine="0" w:firstLineChars="0"/>
        <w:rPr>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 xml:space="preserve">.3  </w:t>
      </w:r>
      <w:r>
        <w:rPr>
          <w:rFonts w:hint="eastAsia"/>
          <w:sz w:val="24"/>
          <w:highlight w:val="none"/>
        </w:rPr>
        <w:t>荧光相对强度校准曲线计算</w:t>
      </w:r>
    </w:p>
    <w:p w14:paraId="06A9BDAF">
      <w:pPr>
        <w:autoSpaceDE w:val="0"/>
        <w:autoSpaceDN w:val="0"/>
        <w:adjustRightInd w:val="0"/>
        <w:spacing w:line="360" w:lineRule="auto"/>
        <w:ind w:firstLine="480" w:firstLineChars="200"/>
        <w:rPr>
          <w:rFonts w:hint="eastAsia" w:eastAsia="宋体"/>
          <w:sz w:val="24"/>
          <w:highlight w:val="none"/>
          <w:lang w:eastAsia="zh-CN"/>
        </w:rPr>
      </w:pPr>
      <w:r>
        <w:rPr>
          <w:rFonts w:hint="eastAsia"/>
          <w:sz w:val="24"/>
          <w:highlight w:val="none"/>
        </w:rPr>
        <w:t>通过</w:t>
      </w:r>
      <w:r>
        <w:rPr>
          <w:rFonts w:hint="eastAsia"/>
          <w:sz w:val="24"/>
          <w:highlight w:val="none"/>
          <w:lang w:val="en-US" w:eastAsia="zh-CN"/>
        </w:rPr>
        <w:t>将标准物质的标准光谱除以测量光谱，</w:t>
      </w:r>
      <w:r>
        <w:rPr>
          <w:rFonts w:hint="eastAsia"/>
          <w:sz w:val="24"/>
          <w:highlight w:val="none"/>
        </w:rPr>
        <w:t>得到荧光相对强度校准曲线</w:t>
      </w:r>
      <w:r>
        <w:rPr>
          <w:rFonts w:hint="eastAsia"/>
          <w:sz w:val="24"/>
          <w:highlight w:val="none"/>
          <w:lang w:eastAsia="zh-CN"/>
        </w:rPr>
        <w:t>：</w:t>
      </w:r>
    </w:p>
    <w:p w14:paraId="15808385">
      <w:pPr>
        <w:spacing w:line="360" w:lineRule="auto"/>
        <w:jc w:val="right"/>
        <w:rPr>
          <w:sz w:val="24"/>
          <w:highlight w:val="none"/>
        </w:rPr>
      </w:pPr>
      <m:oMath>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s</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w:t>
      </w:r>
    </w:p>
    <w:p w14:paraId="2952F93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093BDCAA">
      <w:pPr>
        <w:autoSpaceDE w:val="0"/>
        <w:autoSpaceDN w:val="0"/>
        <w:adjustRightInd w:val="0"/>
        <w:spacing w:line="360" w:lineRule="auto"/>
        <w:ind w:firstLine="480" w:firstLineChars="200"/>
        <w:rPr>
          <w:iCs/>
          <w:sz w:val="24"/>
          <w:highlight w:val="none"/>
        </w:rPr>
      </w:pP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iCs/>
          <w:sz w:val="24"/>
          <w:highlight w:val="none"/>
        </w:rPr>
        <w:t>荧光相对强度校准曲线</w:t>
      </w:r>
      <w:r>
        <w:rPr>
          <w:iCs/>
          <w:sz w:val="24"/>
          <w:highlight w:val="none"/>
        </w:rPr>
        <w:t>；</w:t>
      </w:r>
    </w:p>
    <w:p w14:paraId="1573FD00">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s</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荧光相对强度标准物质</w:t>
      </w:r>
      <w:r>
        <w:rPr>
          <w:rFonts w:hint="eastAsia"/>
          <w:iCs/>
          <w:sz w:val="24"/>
          <w:highlight w:val="none"/>
        </w:rPr>
        <w:t>的</w:t>
      </w:r>
      <w:r>
        <w:rPr>
          <w:sz w:val="24"/>
          <w:highlight w:val="none"/>
        </w:rPr>
        <w:t>标准光谱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1AA6906D">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荧光相对强度标准物质</w:t>
      </w:r>
      <w:r>
        <w:rPr>
          <w:rFonts w:hint="eastAsia"/>
          <w:iCs/>
          <w:sz w:val="24"/>
          <w:highlight w:val="none"/>
        </w:rPr>
        <w:t>的</w:t>
      </w:r>
      <w:r>
        <w:rPr>
          <w:rFonts w:hint="eastAsia"/>
          <w:iCs/>
          <w:sz w:val="24"/>
          <w:highlight w:val="none"/>
          <w:lang w:val="en-US" w:eastAsia="zh-CN"/>
        </w:rPr>
        <w:t>测量</w:t>
      </w:r>
      <w:r>
        <w:rPr>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94B4EEE">
      <w:pPr>
        <w:autoSpaceDE w:val="0"/>
        <w:autoSpaceDN w:val="0"/>
        <w:adjustRightInd w:val="0"/>
        <w:spacing w:line="360" w:lineRule="auto"/>
        <w:ind w:firstLine="480" w:firstLineChars="200"/>
        <w:jc w:val="left"/>
        <w:rPr>
          <w:rFonts w:hint="eastAsia"/>
          <w:sz w:val="24"/>
          <w:highlight w:val="none"/>
        </w:rPr>
      </w:pPr>
      <w:r>
        <w:rPr>
          <w:i/>
          <w:iCs/>
          <w:sz w:val="24"/>
          <w:highlight w:val="none"/>
        </w:rPr>
        <w:t>λ</w:t>
      </w:r>
      <w:r>
        <w:rPr>
          <w:iCs/>
          <w:sz w:val="24"/>
          <w:highlight w:val="none"/>
        </w:rPr>
        <w:t>——</w:t>
      </w:r>
      <w:r>
        <w:rPr>
          <w:sz w:val="24"/>
          <w:highlight w:val="none"/>
        </w:rPr>
        <w:t>波长，nm</w:t>
      </w:r>
      <w:r>
        <w:rPr>
          <w:rFonts w:hint="eastAsia"/>
          <w:sz w:val="24"/>
          <w:highlight w:val="none"/>
        </w:rPr>
        <w:t>。</w:t>
      </w:r>
    </w:p>
    <w:p w14:paraId="5E1A9795">
      <w:pPr>
        <w:autoSpaceDE w:val="0"/>
        <w:autoSpaceDN w:val="0"/>
        <w:adjustRightInd w:val="0"/>
        <w:spacing w:line="360" w:lineRule="auto"/>
        <w:ind w:firstLine="480" w:firstLineChars="200"/>
        <w:jc w:val="left"/>
        <w:rPr>
          <w:rFonts w:hint="eastAsia"/>
          <w:sz w:val="24"/>
          <w:highlight w:val="none"/>
          <w:lang w:val="en-US" w:eastAsia="zh-CN"/>
        </w:rPr>
      </w:pPr>
      <w:r>
        <w:rPr>
          <w:rFonts w:hint="eastAsia"/>
          <w:sz w:val="24"/>
          <w:highlight w:val="none"/>
          <w:lang w:val="en-US" w:eastAsia="zh-CN"/>
        </w:rPr>
        <w:t>如果采用多个不同波长区间的荧光相对强度标准物质计算</w:t>
      </w:r>
      <w:r>
        <w:rPr>
          <w:rFonts w:hint="eastAsia"/>
          <w:sz w:val="24"/>
          <w:highlight w:val="none"/>
        </w:rPr>
        <w:t>荧光相对强度校准曲线</w:t>
      </w:r>
      <w:r>
        <w:rPr>
          <w:rFonts w:hint="eastAsia"/>
          <w:sz w:val="24"/>
          <w:highlight w:val="none"/>
          <w:lang w:eastAsia="zh-CN"/>
        </w:rPr>
        <w:t>，</w:t>
      </w:r>
      <w:r>
        <w:rPr>
          <w:rFonts w:hint="eastAsia"/>
          <w:sz w:val="24"/>
          <w:highlight w:val="none"/>
          <w:lang w:val="en-US" w:eastAsia="zh-CN"/>
        </w:rPr>
        <w:t>需要将获得的多个波长区间的校准曲线连接起来使用。</w:t>
      </w:r>
    </w:p>
    <w:p w14:paraId="4B9A0780">
      <w:pPr>
        <w:autoSpaceDE w:val="0"/>
        <w:autoSpaceDN w:val="0"/>
        <w:adjustRightInd w:val="0"/>
        <w:spacing w:line="360" w:lineRule="auto"/>
        <w:ind w:firstLine="480" w:firstLineChars="200"/>
        <w:rPr>
          <w:rFonts w:hint="default" w:eastAsia="宋体"/>
          <w:sz w:val="24"/>
          <w:highlight w:val="none"/>
          <w:lang w:val="en-US" w:eastAsia="zh-CN"/>
        </w:rPr>
      </w:pPr>
      <w:r>
        <w:rPr>
          <w:rFonts w:hint="eastAsia"/>
          <w:sz w:val="24"/>
          <w:highlight w:val="none"/>
          <w:u w:val="none"/>
          <w:lang w:val="en-US" w:eastAsia="zh-CN"/>
        </w:rPr>
        <w:t>以两个波长区间的校准曲线</w:t>
      </w:r>
      <w:r>
        <w:rPr>
          <w:rFonts w:hint="eastAsia"/>
          <w:i/>
          <w:iCs/>
          <w:sz w:val="24"/>
          <w:highlight w:val="none"/>
          <w:lang w:val="en-US" w:eastAsia="zh-CN"/>
        </w:rPr>
        <w:t>C</w:t>
      </w:r>
      <w:r>
        <w:rPr>
          <w:rFonts w:hint="eastAsia"/>
          <w:sz w:val="24"/>
          <w:highlight w:val="none"/>
          <w:vertAlign w:val="subscript"/>
          <w:lang w:val="en-US" w:eastAsia="zh-CN"/>
        </w:rPr>
        <w:t>1</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)和</w:t>
      </w:r>
      <w:r>
        <w:rPr>
          <w:rFonts w:hint="eastAsia"/>
          <w:i/>
          <w:iCs/>
          <w:sz w:val="24"/>
          <w:highlight w:val="none"/>
          <w:lang w:val="en-US" w:eastAsia="zh-CN"/>
        </w:rPr>
        <w:t>C</w:t>
      </w:r>
      <w:r>
        <w:rPr>
          <w:rFonts w:hint="eastAsia"/>
          <w:sz w:val="24"/>
          <w:highlight w:val="none"/>
          <w:vertAlign w:val="subscript"/>
          <w:lang w:val="en-US" w:eastAsia="zh-CN"/>
        </w:rPr>
        <w:t>2</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rFonts w:hint="eastAsia"/>
          <w:sz w:val="24"/>
          <w:highlight w:val="none"/>
          <w:u w:val="none"/>
          <w:lang w:val="en-US" w:eastAsia="zh-CN"/>
        </w:rPr>
        <w:t>为例，首先</w:t>
      </w:r>
      <w:r>
        <w:rPr>
          <w:rFonts w:hint="eastAsia"/>
          <w:sz w:val="24"/>
          <w:highlight w:val="none"/>
        </w:rPr>
        <w:t>计算系数</w:t>
      </w:r>
      <w:r>
        <w:rPr>
          <w:sz w:val="24"/>
          <w:highlight w:val="none"/>
        </w:rPr>
        <w:t>α</w:t>
      </w:r>
      <w:r>
        <w:rPr>
          <w:rFonts w:hint="eastAsia"/>
          <w:i/>
          <w:iCs/>
          <w:sz w:val="24"/>
          <w:highlight w:val="none"/>
          <w:vertAlign w:val="subscript"/>
          <w:lang w:val="en-US" w:eastAsia="zh-CN"/>
        </w:rPr>
        <w:t>i</w:t>
      </w:r>
      <w:r>
        <w:rPr>
          <w:rFonts w:hint="eastAsia"/>
          <w:sz w:val="24"/>
          <w:highlight w:val="none"/>
          <w:lang w:val="en-US" w:eastAsia="zh-CN"/>
        </w:rPr>
        <w:t>：</w:t>
      </w:r>
    </w:p>
    <w:p w14:paraId="43B2B43A">
      <w:pPr>
        <w:autoSpaceDE w:val="0"/>
        <w:autoSpaceDN w:val="0"/>
        <w:adjustRightInd w:val="0"/>
        <w:spacing w:line="360" w:lineRule="auto"/>
        <w:ind w:firstLine="480" w:firstLineChars="200"/>
        <w:jc w:val="right"/>
        <w:rPr>
          <w:sz w:val="24"/>
          <w:highlight w:val="none"/>
          <w:vertAlign w:val="subscript"/>
        </w:rPr>
      </w:pPr>
      <m:oMath>
        <m:sSub>
          <m:sSubPr>
            <m:ctrlPr>
              <w:rPr>
                <w:rFonts w:hint="default" w:ascii="Cambria Math" w:hAnsi="Cambria Math"/>
                <w:b w:val="0"/>
                <w:i w:val="0"/>
                <w:sz w:val="24"/>
                <w:highlight w:val="none"/>
              </w:rPr>
            </m:ctrlPr>
          </m:sSubPr>
          <m:e>
            <m:r>
              <m:rPr>
                <m:sty m:val="p"/>
              </m:rPr>
              <w:rPr>
                <w:rFonts w:hint="default" w:ascii="Cambria Math" w:hAnsi="Cambria Math"/>
                <w:sz w:val="24"/>
                <w:highlight w:val="none"/>
              </w:rPr>
              <m:t>α</m:t>
            </m:r>
            <m:ctrlPr>
              <w:rPr>
                <w:rFonts w:hint="default" w:ascii="Cambria Math" w:hAnsi="Cambria Math"/>
                <w:b w:val="0"/>
                <w:i w:val="0"/>
                <w:sz w:val="24"/>
                <w:highlight w:val="none"/>
              </w:rPr>
            </m:ctrlPr>
          </m:e>
          <m:sub>
            <m:r>
              <m:rPr/>
              <w:rPr>
                <w:rFonts w:hint="default" w:ascii="Cambria Math" w:hAnsi="Cambria Math"/>
                <w:sz w:val="24"/>
                <w:highlight w:val="none"/>
                <w:lang w:val="en-US" w:eastAsia="zh-CN"/>
              </w:rPr>
              <m:t>i</m:t>
            </m:r>
            <m:ctrlPr>
              <w:rPr>
                <w:rFonts w:hint="default" w:ascii="Cambria Math" w:hAnsi="Cambria Math"/>
                <w:b w:val="0"/>
                <w:i w:val="0"/>
                <w:sz w:val="24"/>
                <w:highlight w:val="none"/>
              </w:rPr>
            </m:ctrlPr>
          </m:sub>
        </m:sSub>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C</m:t>
                </m:r>
                <m:ctrlPr>
                  <w:rPr>
                    <w:rFonts w:hint="default" w:ascii="Cambria Math" w:hAnsi="Cambria Math"/>
                    <w:i/>
                    <w:sz w:val="24"/>
                    <w:highlight w:val="none"/>
                  </w:rPr>
                </m:ctrlPr>
              </m:e>
              <m:sub>
                <m:r>
                  <m:rPr/>
                  <w:rPr>
                    <w:rFonts w:hint="default" w:ascii="Cambria Math" w:hAnsi="Cambria Math"/>
                    <w:sz w:val="24"/>
                    <w:highlight w:val="none"/>
                    <w:lang w:val="en-US" w:eastAsia="zh-CN"/>
                  </w:rPr>
                  <m:t>1</m:t>
                </m:r>
                <m:ctrlPr>
                  <w:rPr>
                    <w:rFonts w:hint="default" w:ascii="Cambria Math" w:hAnsi="Cambria Math"/>
                    <w:i/>
                    <w:sz w:val="24"/>
                    <w:highlight w:val="none"/>
                  </w:rPr>
                </m:ctrlPr>
              </m:sub>
            </m:sSub>
            <m:d>
              <m:dPr>
                <m:ctrlPr>
                  <w:rPr>
                    <w:rFonts w:hint="default" w:ascii="Cambria Math" w:hAnsi="Cambria Math"/>
                    <w:i/>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w:rPr>
                        <w:rFonts w:hint="default" w:ascii="Cambria Math" w:hAnsi="Cambria Math"/>
                        <w:sz w:val="24"/>
                        <w:highlight w:val="none"/>
                        <w:lang w:val="en-US" w:eastAsia="zh-CN"/>
                      </w:rPr>
                      <m:t>i</m:t>
                    </m:r>
                    <m:ctrlPr>
                      <w:rPr>
                        <w:rFonts w:hint="default" w:ascii="Cambria Math" w:hAnsi="Cambria Math"/>
                        <w:i/>
                        <w:sz w:val="24"/>
                        <w:highlight w:val="none"/>
                      </w:rPr>
                    </m:ctrlPr>
                  </m:sub>
                </m:sSub>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C</m:t>
                </m:r>
                <m:ctrlPr>
                  <w:rPr>
                    <w:rFonts w:hint="default" w:ascii="Cambria Math" w:hAnsi="Cambria Math"/>
                    <w:i/>
                    <w:sz w:val="24"/>
                    <w:highlight w:val="none"/>
                  </w:rPr>
                </m:ctrlPr>
              </m:e>
              <m:sub>
                <m:r>
                  <m:rPr/>
                  <w:rPr>
                    <w:rFonts w:hint="default" w:ascii="Cambria Math" w:hAnsi="Cambria Math"/>
                    <w:sz w:val="24"/>
                    <w:highlight w:val="none"/>
                    <w:lang w:val="en-US" w:eastAsia="zh-CN"/>
                  </w:rPr>
                  <m:t>2</m:t>
                </m:r>
                <m:ctrlPr>
                  <w:rPr>
                    <w:rFonts w:hint="default" w:ascii="Cambria Math" w:hAnsi="Cambria Math"/>
                    <w:i/>
                    <w:sz w:val="24"/>
                    <w:highlight w:val="none"/>
                  </w:rPr>
                </m:ctrlPr>
              </m:sub>
            </m:sSub>
            <m:d>
              <m:dPr>
                <m:ctrlPr>
                  <w:rPr>
                    <w:rFonts w:hint="default" w:ascii="Cambria Math" w:hAnsi="Cambria Math"/>
                    <w:i/>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w:rPr>
                        <w:rFonts w:hint="default" w:ascii="Cambria Math" w:hAnsi="Cambria Math"/>
                        <w:sz w:val="24"/>
                        <w:highlight w:val="none"/>
                        <w:lang w:val="en-US" w:eastAsia="zh-CN"/>
                      </w:rPr>
                      <m:t>i</m:t>
                    </m:r>
                    <m:ctrlPr>
                      <w:rPr>
                        <w:rFonts w:hint="default" w:ascii="Cambria Math" w:hAnsi="Cambria Math"/>
                        <w:i/>
                        <w:sz w:val="24"/>
                        <w:highlight w:val="none"/>
                      </w:rPr>
                    </m:ctrlPr>
                  </m:sub>
                </m:sSub>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hAnsi="Cambria Math"/>
          <w:sz w:val="24"/>
          <w:highlight w:val="none"/>
        </w:rPr>
        <w:t xml:space="preserve">          </w:t>
      </w:r>
      <w:r>
        <w:rPr>
          <w:rFonts w:hint="eastAsia" w:hAnsi="Cambria Math"/>
          <w:sz w:val="24"/>
          <w:highlight w:val="none"/>
          <w:lang w:val="en-US" w:eastAsia="zh-CN"/>
        </w:rPr>
        <w:t xml:space="preserve"> </w:t>
      </w:r>
      <w:r>
        <w:rPr>
          <w:rFonts w:hint="eastAsia" w:hAnsi="Cambria Math"/>
          <w:sz w:val="24"/>
          <w:highlight w:val="none"/>
        </w:rPr>
        <w:t xml:space="preserve">                 </w:t>
      </w: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p>
    <w:p w14:paraId="1F37E3A0">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3C64E6D4">
      <w:pPr>
        <w:autoSpaceDE w:val="0"/>
        <w:autoSpaceDN w:val="0"/>
        <w:adjustRightInd w:val="0"/>
        <w:spacing w:line="360" w:lineRule="auto"/>
        <w:ind w:firstLine="480" w:firstLineChars="200"/>
        <w:rPr>
          <w:iCs/>
          <w:sz w:val="24"/>
          <w:highlight w:val="none"/>
        </w:rPr>
      </w:pPr>
      <w:r>
        <w:rPr>
          <w:sz w:val="24"/>
          <w:highlight w:val="none"/>
        </w:rPr>
        <w:t>α</w:t>
      </w:r>
      <w:r>
        <w:rPr>
          <w:rFonts w:hint="eastAsia"/>
          <w:i/>
          <w:iCs/>
          <w:sz w:val="24"/>
          <w:highlight w:val="none"/>
          <w:vertAlign w:val="subscript"/>
          <w:lang w:val="en-US" w:eastAsia="zh-CN"/>
        </w:rPr>
        <w:t>i</w:t>
      </w:r>
      <w:r>
        <w:rPr>
          <w:iCs/>
          <w:sz w:val="24"/>
          <w:highlight w:val="none"/>
        </w:rPr>
        <w:t>——</w:t>
      </w:r>
      <w:r>
        <w:rPr>
          <w:rFonts w:hint="eastAsia"/>
          <w:iCs/>
          <w:sz w:val="24"/>
          <w:highlight w:val="none"/>
          <w:lang w:val="en-US" w:eastAsia="zh-CN"/>
        </w:rPr>
        <w:t>校准曲线</w:t>
      </w:r>
      <w:r>
        <w:rPr>
          <w:rFonts w:hint="eastAsia"/>
          <w:iCs/>
          <w:sz w:val="24"/>
          <w:highlight w:val="none"/>
        </w:rPr>
        <w:t>需要乘的系数</w:t>
      </w:r>
      <w:r>
        <w:rPr>
          <w:iCs/>
          <w:sz w:val="24"/>
          <w:highlight w:val="none"/>
        </w:rPr>
        <w:t>；</w:t>
      </w:r>
    </w:p>
    <w:p w14:paraId="2259D03C">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C</w:t>
      </w:r>
      <w:r>
        <w:rPr>
          <w:rFonts w:hint="eastAsia"/>
          <w:sz w:val="24"/>
          <w:highlight w:val="none"/>
          <w:vertAlign w:val="subscript"/>
          <w:lang w:val="en-US" w:eastAsia="zh-CN"/>
        </w:rPr>
        <w:t>1</w:t>
      </w:r>
      <w:r>
        <w:rPr>
          <w:rFonts w:hint="eastAsia" w:hAnsi="Cambria Math"/>
          <w:i w:val="0"/>
          <w:sz w:val="24"/>
          <w:highlight w:val="none"/>
          <w:lang w:val="en-US" w:eastAsia="zh-CN"/>
        </w:rPr>
        <w:t>(</w:t>
      </w:r>
      <w:r>
        <w:rPr>
          <w:i/>
          <w:iCs/>
          <w:sz w:val="24"/>
          <w:highlight w:val="none"/>
        </w:rPr>
        <w:t>λ</w:t>
      </w:r>
      <w:r>
        <w:rPr>
          <w:rFonts w:hint="eastAsia"/>
          <w:i/>
          <w:iCs/>
          <w:sz w:val="24"/>
          <w:highlight w:val="none"/>
          <w:vertAlign w:val="subscript"/>
          <w:lang w:val="en-US" w:eastAsia="zh-CN"/>
        </w:rPr>
        <w:t>i</w:t>
      </w:r>
      <w:r>
        <w:rPr>
          <w:rFonts w:hint="eastAsia" w:hAnsi="Cambria Math"/>
          <w:i w:val="0"/>
          <w:sz w:val="24"/>
          <w:highlight w:val="none"/>
          <w:lang w:val="en-US" w:eastAsia="zh-CN"/>
        </w:rPr>
        <w:t>)</w:t>
      </w:r>
      <w:r>
        <w:rPr>
          <w:iCs/>
          <w:sz w:val="24"/>
          <w:highlight w:val="none"/>
        </w:rPr>
        <w:t>——</w:t>
      </w:r>
      <w:r>
        <w:rPr>
          <w:rFonts w:hint="eastAsia"/>
          <w:iCs/>
          <w:sz w:val="24"/>
          <w:highlight w:val="none"/>
          <w:lang w:val="en-US" w:eastAsia="zh-CN"/>
        </w:rPr>
        <w:t>第1个校准曲线</w:t>
      </w:r>
      <w:r>
        <w:rPr>
          <w:rFonts w:hint="eastAsia"/>
          <w:sz w:val="24"/>
          <w:highlight w:val="none"/>
          <w:lang w:val="en-US" w:eastAsia="zh-CN"/>
        </w:rPr>
        <w:t>在波长</w:t>
      </w:r>
      <w:r>
        <w:rPr>
          <w:i/>
          <w:iCs/>
          <w:sz w:val="24"/>
          <w:highlight w:val="none"/>
        </w:rPr>
        <w:t>λ</w:t>
      </w:r>
      <w:r>
        <w:rPr>
          <w:rFonts w:hint="eastAsia"/>
          <w:i/>
          <w:iCs/>
          <w:sz w:val="24"/>
          <w:highlight w:val="none"/>
          <w:vertAlign w:val="subscript"/>
          <w:lang w:val="en-US" w:eastAsia="zh-CN"/>
        </w:rPr>
        <w:t>i</w:t>
      </w:r>
      <w:r>
        <w:rPr>
          <w:rFonts w:hint="eastAsia"/>
          <w:iCs/>
          <w:sz w:val="24"/>
          <w:highlight w:val="none"/>
        </w:rPr>
        <w:t>处的</w:t>
      </w:r>
      <w:r>
        <w:rPr>
          <w:rFonts w:hint="eastAsia"/>
          <w:iCs/>
          <w:sz w:val="24"/>
          <w:highlight w:val="none"/>
          <w:lang w:val="en-US" w:eastAsia="zh-CN"/>
        </w:rPr>
        <w:t>校准因子</w:t>
      </w:r>
      <w:r>
        <w:rPr>
          <w:iCs/>
          <w:sz w:val="24"/>
          <w:highlight w:val="none"/>
        </w:rPr>
        <w:t>；</w:t>
      </w:r>
    </w:p>
    <w:p w14:paraId="0EDE5315">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C</w:t>
      </w:r>
      <w:r>
        <w:rPr>
          <w:rFonts w:hint="eastAsia"/>
          <w:sz w:val="24"/>
          <w:highlight w:val="none"/>
          <w:vertAlign w:val="subscript"/>
          <w:lang w:val="en-US" w:eastAsia="zh-CN"/>
        </w:rPr>
        <w:t>2</w:t>
      </w:r>
      <w:r>
        <w:rPr>
          <w:rFonts w:hint="eastAsia" w:hAnsi="Cambria Math"/>
          <w:i w:val="0"/>
          <w:sz w:val="24"/>
          <w:highlight w:val="none"/>
          <w:lang w:val="en-US" w:eastAsia="zh-CN"/>
        </w:rPr>
        <w:t>(</w:t>
      </w:r>
      <w:r>
        <w:rPr>
          <w:i/>
          <w:iCs/>
          <w:sz w:val="24"/>
          <w:highlight w:val="none"/>
        </w:rPr>
        <w:t>λ</w:t>
      </w:r>
      <w:r>
        <w:rPr>
          <w:rFonts w:hint="eastAsia"/>
          <w:i/>
          <w:iCs/>
          <w:sz w:val="24"/>
          <w:highlight w:val="none"/>
          <w:vertAlign w:val="subscript"/>
          <w:lang w:val="en-US" w:eastAsia="zh-CN"/>
        </w:rPr>
        <w:t>i</w:t>
      </w:r>
      <w:r>
        <w:rPr>
          <w:rFonts w:hint="eastAsia" w:hAnsi="Cambria Math"/>
          <w:i w:val="0"/>
          <w:sz w:val="24"/>
          <w:highlight w:val="none"/>
          <w:lang w:val="en-US" w:eastAsia="zh-CN"/>
        </w:rPr>
        <w:t>)</w:t>
      </w:r>
      <w:r>
        <w:rPr>
          <w:iCs/>
          <w:sz w:val="24"/>
          <w:highlight w:val="none"/>
        </w:rPr>
        <w:t>——</w:t>
      </w:r>
      <w:r>
        <w:rPr>
          <w:rFonts w:hint="eastAsia"/>
          <w:iCs/>
          <w:sz w:val="24"/>
          <w:highlight w:val="none"/>
          <w:lang w:val="en-US" w:eastAsia="zh-CN"/>
        </w:rPr>
        <w:t>第2个校准曲线</w:t>
      </w:r>
      <w:r>
        <w:rPr>
          <w:rFonts w:hint="eastAsia"/>
          <w:sz w:val="24"/>
          <w:highlight w:val="none"/>
          <w:lang w:val="en-US" w:eastAsia="zh-CN"/>
        </w:rPr>
        <w:t>在波长</w:t>
      </w:r>
      <w:r>
        <w:rPr>
          <w:i/>
          <w:iCs/>
          <w:sz w:val="24"/>
          <w:highlight w:val="none"/>
        </w:rPr>
        <w:t>λ</w:t>
      </w:r>
      <w:r>
        <w:rPr>
          <w:rFonts w:hint="eastAsia"/>
          <w:i/>
          <w:iCs/>
          <w:sz w:val="24"/>
          <w:highlight w:val="none"/>
          <w:vertAlign w:val="subscript"/>
          <w:lang w:val="en-US" w:eastAsia="zh-CN"/>
        </w:rPr>
        <w:t>i</w:t>
      </w:r>
      <w:r>
        <w:rPr>
          <w:rFonts w:hint="eastAsia"/>
          <w:iCs/>
          <w:sz w:val="24"/>
          <w:highlight w:val="none"/>
        </w:rPr>
        <w:t>处的</w:t>
      </w:r>
      <w:r>
        <w:rPr>
          <w:rFonts w:hint="eastAsia"/>
          <w:iCs/>
          <w:sz w:val="24"/>
          <w:highlight w:val="none"/>
          <w:lang w:val="en-US" w:eastAsia="zh-CN"/>
        </w:rPr>
        <w:t>校准因子</w:t>
      </w:r>
      <w:r>
        <w:rPr>
          <w:iCs/>
          <w:sz w:val="24"/>
          <w:highlight w:val="none"/>
        </w:rPr>
        <w:t>；</w:t>
      </w:r>
    </w:p>
    <w:p w14:paraId="48F1FB66">
      <w:pPr>
        <w:autoSpaceDE w:val="0"/>
        <w:autoSpaceDN w:val="0"/>
        <w:adjustRightInd w:val="0"/>
        <w:spacing w:line="360" w:lineRule="auto"/>
        <w:ind w:firstLine="480" w:firstLineChars="200"/>
        <w:jc w:val="left"/>
        <w:rPr>
          <w:rFonts w:hint="default"/>
          <w:sz w:val="24"/>
          <w:highlight w:val="none"/>
          <w:lang w:val="en-US" w:eastAsia="zh-CN"/>
        </w:rPr>
      </w:pPr>
      <w:r>
        <w:rPr>
          <w:rFonts w:hint="eastAsia"/>
          <w:sz w:val="24"/>
          <w:highlight w:val="none"/>
        </w:rPr>
        <w:t>将</w:t>
      </w:r>
      <w:r>
        <w:rPr>
          <w:rFonts w:hint="eastAsia"/>
          <w:iCs/>
          <w:sz w:val="24"/>
          <w:highlight w:val="none"/>
          <w:lang w:val="en-US" w:eastAsia="zh-CN"/>
        </w:rPr>
        <w:t>第2个校准曲线乘以系数</w:t>
      </w:r>
      <w:r>
        <w:rPr>
          <w:sz w:val="24"/>
          <w:highlight w:val="none"/>
        </w:rPr>
        <w:t>α</w:t>
      </w:r>
      <w:r>
        <w:rPr>
          <w:rFonts w:hint="eastAsia"/>
          <w:i/>
          <w:iCs/>
          <w:sz w:val="24"/>
          <w:highlight w:val="none"/>
          <w:vertAlign w:val="subscript"/>
          <w:lang w:val="en-US" w:eastAsia="zh-CN"/>
        </w:rPr>
        <w:t>i</w:t>
      </w:r>
      <w:r>
        <w:rPr>
          <w:sz w:val="24"/>
          <w:highlight w:val="none"/>
        </w:rPr>
        <w:t>*</w:t>
      </w:r>
      <w:r>
        <w:rPr>
          <w:rFonts w:hint="eastAsia"/>
          <w:i/>
          <w:iCs/>
          <w:sz w:val="24"/>
          <w:highlight w:val="none"/>
          <w:lang w:val="en-US" w:eastAsia="zh-CN"/>
        </w:rPr>
        <w:t>C</w:t>
      </w:r>
      <w:r>
        <w:rPr>
          <w:rFonts w:hint="eastAsia"/>
          <w:sz w:val="24"/>
          <w:highlight w:val="none"/>
          <w:vertAlign w:val="subscript"/>
          <w:lang w:val="en-US" w:eastAsia="zh-CN"/>
        </w:rPr>
        <w:t>2</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rFonts w:hint="eastAsia"/>
          <w:sz w:val="24"/>
          <w:highlight w:val="none"/>
        </w:rPr>
        <w:t>和</w:t>
      </w:r>
      <w:r>
        <w:rPr>
          <w:rFonts w:hint="eastAsia"/>
          <w:iCs/>
          <w:sz w:val="24"/>
          <w:highlight w:val="none"/>
          <w:lang w:val="en-US" w:eastAsia="zh-CN"/>
        </w:rPr>
        <w:t>第1个校准曲线</w:t>
      </w:r>
      <w:r>
        <w:rPr>
          <w:rFonts w:hint="eastAsia"/>
          <w:i/>
          <w:iCs/>
          <w:sz w:val="24"/>
          <w:highlight w:val="none"/>
          <w:lang w:val="en-US" w:eastAsia="zh-CN"/>
        </w:rPr>
        <w:t>C</w:t>
      </w:r>
      <w:r>
        <w:rPr>
          <w:rFonts w:hint="eastAsia"/>
          <w:sz w:val="24"/>
          <w:highlight w:val="none"/>
          <w:vertAlign w:val="subscript"/>
          <w:lang w:val="en-US" w:eastAsia="zh-CN"/>
        </w:rPr>
        <w:t>1</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rFonts w:hint="eastAsia"/>
          <w:sz w:val="24"/>
          <w:highlight w:val="none"/>
        </w:rPr>
        <w:t>在</w:t>
      </w:r>
      <w:r>
        <w:rPr>
          <w:rFonts w:hint="eastAsia"/>
          <w:sz w:val="24"/>
          <w:highlight w:val="none"/>
          <w:lang w:val="en-US" w:eastAsia="zh-CN"/>
        </w:rPr>
        <w:t>波长</w:t>
      </w:r>
      <w:r>
        <w:rPr>
          <w:i/>
          <w:iCs/>
          <w:sz w:val="24"/>
          <w:highlight w:val="none"/>
        </w:rPr>
        <w:t>λ</w:t>
      </w:r>
      <w:r>
        <w:rPr>
          <w:rFonts w:hint="eastAsia"/>
          <w:i/>
          <w:iCs/>
          <w:sz w:val="24"/>
          <w:highlight w:val="none"/>
          <w:vertAlign w:val="subscript"/>
          <w:lang w:val="en-US" w:eastAsia="zh-CN"/>
        </w:rPr>
        <w:t>i</w:t>
      </w:r>
      <w:r>
        <w:rPr>
          <w:rFonts w:hint="eastAsia"/>
          <w:iCs/>
          <w:sz w:val="24"/>
          <w:highlight w:val="none"/>
        </w:rPr>
        <w:t>处</w:t>
      </w:r>
      <w:r>
        <w:rPr>
          <w:rFonts w:hint="eastAsia"/>
          <w:sz w:val="24"/>
          <w:highlight w:val="none"/>
        </w:rPr>
        <w:t>连接起来组成</w:t>
      </w:r>
      <w:r>
        <w:rPr>
          <w:rFonts w:hint="eastAsia"/>
          <w:sz w:val="24"/>
          <w:highlight w:val="none"/>
          <w:lang w:val="en-US" w:eastAsia="zh-CN"/>
        </w:rPr>
        <w:t>新的校准曲线</w:t>
      </w:r>
      <w:r>
        <w:rPr>
          <w:rFonts w:hint="eastAsia"/>
          <w:sz w:val="24"/>
          <w:highlight w:val="none"/>
          <w:vertAlign w:val="baseline"/>
          <w:lang w:val="en-US" w:eastAsia="zh-CN"/>
        </w:rPr>
        <w:t>。</w:t>
      </w:r>
    </w:p>
    <w:p w14:paraId="2B6FAA51">
      <w:pPr>
        <w:spacing w:line="360" w:lineRule="auto"/>
        <w:outlineLvl w:val="1"/>
        <w:rPr>
          <w:rFonts w:hint="eastAsia" w:cs="Times New Roman"/>
          <w:kern w:val="2"/>
          <w:sz w:val="24"/>
          <w:szCs w:val="24"/>
          <w:highlight w:val="none"/>
          <w:lang w:val="en-US" w:eastAsia="zh-CN"/>
        </w:rPr>
      </w:pPr>
      <w:bookmarkStart w:id="65" w:name="_Toc23292"/>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 xml:space="preserve">  </w:t>
      </w:r>
      <w:r>
        <w:rPr>
          <w:rFonts w:hint="eastAsia"/>
          <w:sz w:val="24"/>
          <w:highlight w:val="none"/>
        </w:rPr>
        <w:t>荧光</w:t>
      </w:r>
      <w:r>
        <w:rPr>
          <w:rFonts w:hint="eastAsia" w:cs="Times New Roman"/>
          <w:kern w:val="2"/>
          <w:sz w:val="24"/>
          <w:szCs w:val="24"/>
          <w:highlight w:val="none"/>
          <w:lang w:val="en-US" w:eastAsia="zh-CN"/>
        </w:rPr>
        <w:t>发射光谱的测量和校准</w:t>
      </w:r>
      <w:bookmarkEnd w:id="65"/>
    </w:p>
    <w:p w14:paraId="4F702349">
      <w:pPr>
        <w:autoSpaceDE w:val="0"/>
        <w:autoSpaceDN w:val="0"/>
        <w:adjustRightInd w:val="0"/>
        <w:spacing w:line="360" w:lineRule="auto"/>
        <w:ind w:firstLine="480" w:firstLineChars="200"/>
        <w:rPr>
          <w:rFonts w:hint="eastAsia"/>
          <w:sz w:val="24"/>
          <w:highlight w:val="none"/>
          <w:lang w:eastAsia="zh-CN"/>
        </w:rPr>
      </w:pPr>
      <w:r>
        <w:rPr>
          <w:rFonts w:hint="eastAsia"/>
          <w:sz w:val="24"/>
          <w:highlight w:val="none"/>
        </w:rPr>
        <w:t>分别测量</w:t>
      </w:r>
      <w:r>
        <w:rPr>
          <w:rFonts w:hint="eastAsia"/>
          <w:sz w:val="24"/>
          <w:highlight w:val="none"/>
          <w:lang w:val="en-US" w:eastAsia="zh-CN"/>
        </w:rPr>
        <w:t>被测样品（含有发光材料）的发射光谱（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s</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）和空白样品的发射光谱（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）5</w:t>
      </w:r>
      <w:r>
        <w:rPr>
          <w:rFonts w:hint="eastAsia" w:hAnsi="Cambria Math"/>
          <w:i w:val="0"/>
          <w:sz w:val="24"/>
          <w:highlight w:val="none"/>
          <w:lang w:val="en-US" w:eastAsia="zh-CN"/>
        </w:rPr>
        <w:t>次，</w:t>
      </w:r>
      <w:r>
        <w:rPr>
          <w:rFonts w:hint="eastAsia"/>
          <w:sz w:val="24"/>
          <w:highlight w:val="none"/>
          <w:lang w:val="en-US" w:eastAsia="zh-CN"/>
        </w:rPr>
        <w:t>被测样品光谱</w:t>
      </w:r>
      <w:r>
        <w:rPr>
          <w:rFonts w:hint="eastAsia" w:hAnsi="Cambria Math"/>
          <w:i w:val="0"/>
          <w:sz w:val="24"/>
          <w:highlight w:val="none"/>
          <w:lang w:val="en-US" w:eastAsia="zh-CN"/>
        </w:rPr>
        <w:t>扣除空白样品光谱并乘以校准曲线后，最后</w:t>
      </w:r>
      <w:r>
        <w:rPr>
          <w:rFonts w:hint="eastAsia"/>
          <w:iCs/>
          <w:sz w:val="24"/>
          <w:highlight w:val="none"/>
          <w:lang w:val="en-US" w:eastAsia="zh-CN"/>
        </w:rPr>
        <w:t>归一化得到校准后的荧光相对强度光谱</w:t>
      </w:r>
      <w:r>
        <w:rPr>
          <w:rFonts w:hint="eastAsia"/>
          <w:sz w:val="24"/>
          <w:highlight w:val="none"/>
          <w:lang w:eastAsia="zh-CN"/>
        </w:rPr>
        <w:t>：</w:t>
      </w:r>
    </w:p>
    <w:p w14:paraId="66FB31EC">
      <w:pPr>
        <w:autoSpaceDE w:val="0"/>
        <w:autoSpaceDN w:val="0"/>
        <w:adjustRightInd w:val="0"/>
        <w:spacing w:line="360" w:lineRule="auto"/>
        <w:jc w:val="right"/>
        <w:rPr>
          <w:rFonts w:hint="eastAsia"/>
          <w:sz w:val="24"/>
          <w:highlight w:val="none"/>
          <w:vertAlign w:val="subscript"/>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sz w:val="24"/>
                    <w:highlight w:val="none"/>
                  </w:rPr>
                </m:ctrlPr>
              </m:e>
            </m:d>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r>
                  <m:rPr>
                    <m:sty m:val="p"/>
                  </m:rPr>
                  <w:rPr>
                    <w:rFonts w:hint="eastAsia" w:ascii="Cambria Math" w:hAnsi="Cambria Math"/>
                    <w:sz w:val="24"/>
                    <w:highlight w:val="none"/>
                    <w:lang w:val="en-US" w:eastAsia="zh-CN"/>
                  </w:rPr>
                  <m:t>ax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w:t>
      </w:r>
      <w:r>
        <w:rPr>
          <w:rFonts w:hint="eastAsia"/>
          <w:sz w:val="24"/>
          <w:highlight w:val="none"/>
          <w:vertAlign w:val="subscript"/>
        </w:rPr>
        <w:t xml:space="preserve">  </w:t>
      </w:r>
    </w:p>
    <w:p w14:paraId="5C8BF1A4">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012B1F7C">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7D7116DC">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lang w:val="en-US" w:eastAsia="zh-CN"/>
              </w:rPr>
              <m:t>x</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测量被测样品的</w:t>
      </w:r>
      <w:r>
        <w:rPr>
          <w:rFonts w:hint="eastAsia"/>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4EA25E39">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测量空白样品的</w:t>
      </w:r>
      <w:r>
        <w:rPr>
          <w:rFonts w:hint="eastAsia"/>
          <w:sz w:val="24"/>
          <w:highlight w:val="none"/>
        </w:rPr>
        <w:t>光谱</w:t>
      </w:r>
      <w:r>
        <w:rPr>
          <w:rFonts w:hint="eastAsia"/>
          <w:sz w:val="24"/>
          <w:highlight w:val="none"/>
          <w:lang w:val="en-US" w:eastAsia="zh-CN"/>
        </w:rPr>
        <w:t>，</w:t>
      </w:r>
      <w:r>
        <w:rPr>
          <w:rFonts w:hint="eastAsia"/>
          <w:sz w:val="24"/>
          <w:highlight w:val="none"/>
        </w:rPr>
        <w:t>纵坐标单位为</w:t>
      </w:r>
      <w:r>
        <w:rPr>
          <w:sz w:val="24"/>
          <w:highlight w:val="none"/>
        </w:rPr>
        <w:t>1/s</w:t>
      </w:r>
      <w:r>
        <w:rPr>
          <w:iCs/>
          <w:sz w:val="24"/>
          <w:highlight w:val="none"/>
        </w:rPr>
        <w:t>；</w:t>
      </w:r>
    </w:p>
    <w:p w14:paraId="4747E55C">
      <w:pPr>
        <w:autoSpaceDE w:val="0"/>
        <w:autoSpaceDN w:val="0"/>
        <w:adjustRightInd w:val="0"/>
        <w:spacing w:line="360" w:lineRule="auto"/>
        <w:ind w:firstLine="480" w:firstLineChars="200"/>
        <w:rPr>
          <w:iCs/>
          <w:sz w:val="24"/>
          <w:highlight w:val="none"/>
        </w:rPr>
      </w:pP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iCs/>
          <w:sz w:val="24"/>
          <w:highlight w:val="none"/>
        </w:rPr>
        <w:t>荧光相对强度校准曲线</w:t>
      </w:r>
      <w:r>
        <w:rPr>
          <w:iCs/>
          <w:sz w:val="24"/>
          <w:highlight w:val="none"/>
        </w:rPr>
        <w:t>；</w:t>
      </w:r>
    </w:p>
    <w:p w14:paraId="34467E1C">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sz w:val="24"/>
          <w:highlight w:val="none"/>
          <w:vertAlign w:val="subscript"/>
          <w:lang w:val="en-US" w:eastAsia="zh-CN"/>
        </w:rPr>
        <w:t>ax</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最大荧光强度</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47E66FE2">
      <w:pPr>
        <w:autoSpaceDE w:val="0"/>
        <w:autoSpaceDN w:val="0"/>
        <w:adjustRightInd w:val="0"/>
        <w:spacing w:line="360" w:lineRule="auto"/>
        <w:ind w:firstLine="480" w:firstLineChars="200"/>
        <w:jc w:val="left"/>
        <w:rPr>
          <w:rFonts w:hint="eastAsia"/>
          <w:sz w:val="24"/>
          <w:highlight w:val="none"/>
        </w:rPr>
      </w:pPr>
      <w:r>
        <w:rPr>
          <w:i/>
          <w:iCs/>
          <w:sz w:val="24"/>
          <w:highlight w:val="none"/>
        </w:rPr>
        <w:t>λ</w:t>
      </w:r>
      <w:r>
        <w:rPr>
          <w:iCs/>
          <w:sz w:val="24"/>
          <w:highlight w:val="none"/>
        </w:rPr>
        <w:t>——</w:t>
      </w:r>
      <w:r>
        <w:rPr>
          <w:sz w:val="24"/>
          <w:highlight w:val="none"/>
        </w:rPr>
        <w:t>波长，nm</w:t>
      </w:r>
      <w:r>
        <w:rPr>
          <w:rFonts w:hint="eastAsia"/>
          <w:sz w:val="24"/>
          <w:highlight w:val="none"/>
        </w:rPr>
        <w:t>。</w:t>
      </w:r>
    </w:p>
    <w:p w14:paraId="254F5FA4">
      <w:pPr>
        <w:autoSpaceDE w:val="0"/>
        <w:autoSpaceDN w:val="0"/>
        <w:adjustRightInd w:val="0"/>
        <w:spacing w:line="360" w:lineRule="auto"/>
        <w:ind w:firstLine="480" w:firstLineChars="200"/>
        <w:rPr>
          <w:rFonts w:hint="eastAsia"/>
          <w:sz w:val="24"/>
          <w:highlight w:val="none"/>
          <w:lang w:eastAsia="zh-CN"/>
        </w:rPr>
      </w:pPr>
      <w:r>
        <w:rPr>
          <w:rFonts w:hint="eastAsia"/>
          <w:iCs/>
          <w:sz w:val="24"/>
          <w:highlight w:val="none"/>
          <w:lang w:val="en-US" w:eastAsia="zh-CN"/>
        </w:rPr>
        <w:t>计算</w:t>
      </w:r>
      <w:r>
        <w:rPr>
          <w:rFonts w:hint="eastAsia"/>
          <w:sz w:val="24"/>
          <w:highlight w:val="none"/>
          <w:lang w:val="en-US" w:eastAsia="zh-CN"/>
        </w:rPr>
        <w:t>5</w:t>
      </w:r>
      <w:r>
        <w:rPr>
          <w:rFonts w:hint="eastAsia" w:hAnsi="Cambria Math"/>
          <w:i w:val="0"/>
          <w:sz w:val="24"/>
          <w:highlight w:val="none"/>
          <w:lang w:val="en-US" w:eastAsia="zh-CN"/>
        </w:rPr>
        <w:t>次重复测量得到的校准后的</w:t>
      </w:r>
      <w:r>
        <w:rPr>
          <w:rFonts w:hint="eastAsia"/>
          <w:iCs/>
          <w:sz w:val="24"/>
          <w:highlight w:val="none"/>
          <w:lang w:val="en-US" w:eastAsia="zh-CN"/>
        </w:rPr>
        <w:t>荧光相对强度光谱平均值，得到</w:t>
      </w:r>
      <w:r>
        <w:rPr>
          <w:rFonts w:hint="eastAsia" w:ascii="宋体" w:hAnsi="宋体" w:cs="宋体"/>
          <w:sz w:val="24"/>
          <w:highlight w:val="none"/>
          <w:lang w:val="en-US" w:eastAsia="zh-CN"/>
        </w:rPr>
        <w:t>荧光相对强度</w:t>
      </w:r>
      <w:r>
        <w:rPr>
          <w:rFonts w:hint="eastAsia"/>
          <w:sz w:val="24"/>
          <w:highlight w:val="none"/>
        </w:rPr>
        <w:t>光谱</w:t>
      </w:r>
      <w:r>
        <w:rPr>
          <w:rFonts w:hint="eastAsia"/>
          <w:sz w:val="24"/>
          <w:highlight w:val="none"/>
          <w:lang w:eastAsia="zh-CN"/>
        </w:rPr>
        <w:t>：</w:t>
      </w:r>
    </w:p>
    <w:p w14:paraId="1CB924DF">
      <w:pPr>
        <w:autoSpaceDE w:val="0"/>
        <w:autoSpaceDN w:val="0"/>
        <w:adjustRightInd w:val="0"/>
        <w:spacing w:line="360" w:lineRule="auto"/>
        <w:jc w:val="right"/>
        <w:rPr>
          <w:rFonts w:hint="eastAsia"/>
          <w:sz w:val="24"/>
          <w:highlight w:val="none"/>
          <w:lang w:val="en-US" w:eastAsia="zh-CN"/>
        </w:rPr>
      </w:pPr>
      <w:r>
        <w:rPr>
          <w:rFonts w:hint="eastAsia"/>
          <w:sz w:val="24"/>
          <w:highlight w:val="none"/>
          <w:vertAlign w:val="subscript"/>
        </w:rPr>
        <w:t xml:space="preserve">     </w:t>
      </w:r>
    </w:p>
    <w:p w14:paraId="624C4277">
      <w:pPr>
        <w:spacing w:line="360" w:lineRule="auto"/>
        <w:jc w:val="right"/>
        <w:rPr>
          <w:rFonts w:hint="eastAsia" w:ascii="宋体" w:hAnsi="宋体" w:cs="宋体"/>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nary>
            <m:ctrlPr>
              <w:rPr>
                <w:rFonts w:hint="default" w:ascii="Cambria Math" w:hAnsi="Cambria Math"/>
                <w:sz w:val="24"/>
                <w:highlight w:val="none"/>
              </w:rPr>
            </m:ctrlPr>
          </m:num>
          <m:den>
            <m:r>
              <m:rPr/>
              <w:rPr>
                <w:rFonts w:hint="default" w:ascii="Cambria Math" w:hAnsi="Cambria Math"/>
                <w:sz w:val="24"/>
                <w:highlight w:val="none"/>
                <w:lang w:val="en-US" w:eastAsia="zh-CN"/>
              </w:rPr>
              <m:t>n</m:t>
            </m:r>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w:t>
      </w:r>
    </w:p>
    <w:p w14:paraId="558E58F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43E7858F">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5A8953A6">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2DFF81C7">
      <w:pPr>
        <w:autoSpaceDE w:val="0"/>
        <w:autoSpaceDN w:val="0"/>
        <w:adjustRightInd w:val="0"/>
        <w:spacing w:line="360" w:lineRule="auto"/>
        <w:ind w:firstLine="480" w:firstLineChars="200"/>
        <w:jc w:val="left"/>
        <w:rPr>
          <w:rFonts w:hint="eastAsia" w:eastAsia="宋体"/>
          <w:sz w:val="24"/>
          <w:highlight w:val="none"/>
          <w:lang w:eastAsia="zh-CN"/>
        </w:rPr>
      </w:pPr>
      <w:r>
        <w:rPr>
          <w:i/>
          <w:iCs/>
          <w:sz w:val="24"/>
          <w:highlight w:val="none"/>
        </w:rPr>
        <w:t>λ</w:t>
      </w:r>
      <w:r>
        <w:rPr>
          <w:iCs/>
          <w:sz w:val="24"/>
          <w:highlight w:val="none"/>
        </w:rPr>
        <w:t>——</w:t>
      </w:r>
      <w:r>
        <w:rPr>
          <w:sz w:val="24"/>
          <w:highlight w:val="none"/>
        </w:rPr>
        <w:t>波长，nm</w:t>
      </w:r>
      <w:r>
        <w:rPr>
          <w:rFonts w:hint="eastAsia"/>
          <w:sz w:val="24"/>
          <w:highlight w:val="none"/>
          <w:lang w:eastAsia="zh-CN"/>
        </w:rPr>
        <w:t>；</w:t>
      </w:r>
    </w:p>
    <w:p w14:paraId="2ECE059A">
      <w:pPr>
        <w:autoSpaceDE w:val="0"/>
        <w:autoSpaceDN w:val="0"/>
        <w:adjustRightInd w:val="0"/>
        <w:spacing w:line="360" w:lineRule="auto"/>
        <w:ind w:firstLine="480" w:firstLineChars="200"/>
        <w:jc w:val="left"/>
        <w:rPr>
          <w:rFonts w:hint="eastAsia"/>
          <w:i/>
          <w:iCs/>
          <w:sz w:val="24"/>
          <w:highlight w:val="none"/>
        </w:rPr>
      </w:pPr>
      <w:r>
        <w:rPr>
          <w:rFonts w:hint="eastAsia"/>
          <w:i/>
          <w:iCs/>
          <w:sz w:val="24"/>
          <w:highlight w:val="none"/>
        </w:rPr>
        <w:t>n</w:t>
      </w:r>
      <w:r>
        <w:rPr>
          <w:i w:val="0"/>
          <w:iCs w:val="0"/>
          <w:sz w:val="24"/>
          <w:highlight w:val="none"/>
        </w:rPr>
        <w:t>——</w:t>
      </w:r>
      <w:r>
        <w:rPr>
          <w:rFonts w:hint="eastAsia"/>
          <w:i w:val="0"/>
          <w:iCs w:val="0"/>
          <w:sz w:val="24"/>
          <w:highlight w:val="none"/>
        </w:rPr>
        <w:t>测量次数。</w:t>
      </w:r>
    </w:p>
    <w:p w14:paraId="3D6E4822">
      <w:pPr>
        <w:spacing w:line="360" w:lineRule="auto"/>
        <w:ind w:firstLine="420"/>
        <w:rPr>
          <w:sz w:val="24"/>
          <w:highlight w:val="none"/>
        </w:rPr>
      </w:pPr>
      <w:r>
        <w:rPr>
          <w:rFonts w:hint="eastAsia"/>
          <w:sz w:val="24"/>
          <w:highlight w:val="none"/>
          <w:lang w:val="en-US" w:eastAsia="zh-CN"/>
        </w:rPr>
        <w:t>不同波长下荧光相对强度的</w:t>
      </w:r>
      <w:r>
        <w:rPr>
          <w:rFonts w:hint="eastAsia"/>
          <w:sz w:val="24"/>
          <w:highlight w:val="none"/>
        </w:rPr>
        <w:t>实验标准差为</w:t>
      </w:r>
      <w:r>
        <w:rPr>
          <w:rFonts w:hint="eastAsia"/>
          <w:sz w:val="24"/>
          <w:highlight w:val="none"/>
          <w:lang w:val="en-US" w:eastAsia="zh-CN"/>
        </w:rPr>
        <w:t>荧光相对强度的</w:t>
      </w:r>
      <w:r>
        <w:rPr>
          <w:rFonts w:hint="eastAsia"/>
          <w:sz w:val="24"/>
          <w:highlight w:val="none"/>
        </w:rPr>
        <w:t>测量重复性：</w:t>
      </w:r>
    </w:p>
    <w:p w14:paraId="707A34A3">
      <w:pPr>
        <w:spacing w:line="360" w:lineRule="auto"/>
        <w:jc w:val="right"/>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sz w:val="24"/>
            <w:highlight w:val="none"/>
          </w:rPr>
          <m:t>=</m:t>
        </m:r>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eastAsia="等线"/>
                                <w:color w:val="000000"/>
                                <w:kern w:val="24"/>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ascii="宋体" w:hAnsi="宋体" w:cs="宋体"/>
          <w:sz w:val="24"/>
          <w:highlight w:val="none"/>
        </w:rPr>
        <w:t>（</w:t>
      </w:r>
      <w:r>
        <w:rPr>
          <w:rFonts w:hint="eastAsia" w:ascii="宋体" w:hAnsi="宋体" w:cs="宋体"/>
          <w:sz w:val="24"/>
          <w:highlight w:val="none"/>
          <w:lang w:val="en-US" w:eastAsia="zh-CN"/>
        </w:rPr>
        <w:t>7</w:t>
      </w:r>
      <w:r>
        <w:rPr>
          <w:rFonts w:hint="eastAsia" w:ascii="宋体" w:hAnsi="宋体" w:cs="宋体"/>
          <w:sz w:val="24"/>
          <w:highlight w:val="none"/>
        </w:rPr>
        <w:t>）</w:t>
      </w:r>
    </w:p>
    <w:p w14:paraId="6CCB2C16">
      <w:pPr>
        <w:spacing w:line="360" w:lineRule="auto"/>
        <w:ind w:firstLine="480" w:firstLineChars="200"/>
        <w:rPr>
          <w:rFonts w:hAnsi="Cambria Math"/>
          <w:sz w:val="24"/>
          <w:highlight w:val="none"/>
        </w:rPr>
      </w:pPr>
      <w:r>
        <w:rPr>
          <w:rFonts w:hint="eastAsia" w:hAnsi="Cambria Math"/>
          <w:sz w:val="24"/>
          <w:highlight w:val="none"/>
        </w:rPr>
        <w:t>式中：</w:t>
      </w:r>
    </w:p>
    <w:p w14:paraId="5E9CD18F">
      <w:pPr>
        <w:spacing w:line="360" w:lineRule="auto"/>
        <w:ind w:firstLine="480" w:firstLineChars="200"/>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oMath>
      <w:r>
        <w:rPr>
          <w:iCs/>
          <w:sz w:val="24"/>
          <w:highlight w:val="none"/>
        </w:rPr>
        <w:t>——</w:t>
      </w:r>
      <w:r>
        <w:rPr>
          <w:rFonts w:hint="eastAsia"/>
          <w:sz w:val="24"/>
          <w:highlight w:val="none"/>
        </w:rPr>
        <w:t>荧光</w:t>
      </w:r>
      <w:r>
        <w:rPr>
          <w:rFonts w:hint="eastAsia" w:ascii="Times New Roman" w:hAnsi="Times New Roman" w:cs="Times New Roman"/>
          <w:kern w:val="2"/>
          <w:sz w:val="24"/>
          <w:szCs w:val="24"/>
          <w:highlight w:val="none"/>
        </w:rPr>
        <w:t>相对强度</w:t>
      </w:r>
      <w:r>
        <w:rPr>
          <w:rFonts w:hint="eastAsia"/>
          <w:sz w:val="24"/>
          <w:highlight w:val="none"/>
        </w:rPr>
        <w:t>测量重复性</w:t>
      </w:r>
      <w:r>
        <w:rPr>
          <w:rFonts w:hint="eastAsia" w:hAnsi="Cambria Math"/>
          <w:sz w:val="24"/>
          <w:highlight w:val="none"/>
        </w:rPr>
        <w:t>；</w:t>
      </w:r>
    </w:p>
    <w:p w14:paraId="0B59F9E9">
      <w:pPr>
        <w:spacing w:line="360" w:lineRule="auto"/>
        <w:ind w:firstLine="480" w:firstLineChars="200"/>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5ECA443F">
      <w:pPr>
        <w:spacing w:line="360" w:lineRule="auto"/>
        <w:ind w:firstLine="480" w:firstLineChars="200"/>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w:t>
      </w:r>
      <w:r>
        <w:rPr>
          <w:rFonts w:hint="eastAsia"/>
          <w:sz w:val="24"/>
          <w:highlight w:val="none"/>
        </w:rPr>
        <w:t>荧光</w:t>
      </w:r>
      <w:r>
        <w:rPr>
          <w:rFonts w:hint="eastAsia" w:ascii="Times New Roman" w:hAnsi="Times New Roman" w:cs="Times New Roman"/>
          <w:kern w:val="2"/>
          <w:sz w:val="24"/>
          <w:szCs w:val="24"/>
          <w:highlight w:val="none"/>
        </w:rPr>
        <w:t>相对强度</w:t>
      </w:r>
      <w:r>
        <w:rPr>
          <w:rFonts w:hint="eastAsia"/>
          <w:iCs/>
          <w:sz w:val="24"/>
          <w:highlight w:val="none"/>
        </w:rPr>
        <w:t>的</w:t>
      </w:r>
      <w:r>
        <w:rPr>
          <w:rFonts w:hint="eastAsia"/>
          <w:sz w:val="24"/>
          <w:highlight w:val="none"/>
        </w:rPr>
        <w:t>平均值</w:t>
      </w:r>
      <w:r>
        <w:rPr>
          <w:rFonts w:hint="eastAsia"/>
          <w:iCs/>
          <w:sz w:val="24"/>
          <w:highlight w:val="none"/>
          <w:lang w:eastAsia="zh-CN"/>
        </w:rPr>
        <w:t>，</w:t>
      </w:r>
      <w:r>
        <w:rPr>
          <w:rFonts w:hint="eastAsia"/>
          <w:sz w:val="24"/>
          <w:highlight w:val="none"/>
        </w:rPr>
        <w:t>纵坐标单位为</w:t>
      </w:r>
      <w:r>
        <w:rPr>
          <w:sz w:val="24"/>
          <w:highlight w:val="none"/>
        </w:rPr>
        <w:t>1/s</w:t>
      </w:r>
      <w:r>
        <w:rPr>
          <w:rFonts w:hint="eastAsia"/>
          <w:sz w:val="24"/>
          <w:highlight w:val="none"/>
        </w:rPr>
        <w:t>；</w:t>
      </w:r>
    </w:p>
    <w:p w14:paraId="191B9055">
      <w:pPr>
        <w:autoSpaceDE w:val="0"/>
        <w:autoSpaceDN w:val="0"/>
        <w:adjustRightInd w:val="0"/>
        <w:spacing w:line="360" w:lineRule="auto"/>
        <w:ind w:firstLine="480" w:firstLineChars="200"/>
        <w:jc w:val="left"/>
        <w:rPr>
          <w:rFonts w:hint="eastAsia" w:cs="Times New Roman"/>
          <w:kern w:val="2"/>
          <w:sz w:val="24"/>
          <w:szCs w:val="24"/>
          <w:highlight w:val="none"/>
          <w:lang w:val="en-US" w:eastAsia="zh-CN"/>
        </w:rPr>
      </w:pPr>
      <w:r>
        <w:rPr>
          <w:rFonts w:hint="eastAsia"/>
          <w:i/>
          <w:iCs/>
          <w:sz w:val="24"/>
          <w:highlight w:val="none"/>
        </w:rPr>
        <w:t>n</w:t>
      </w:r>
      <w:r>
        <w:rPr>
          <w:i w:val="0"/>
          <w:iCs w:val="0"/>
          <w:sz w:val="24"/>
          <w:highlight w:val="none"/>
        </w:rPr>
        <w:t>——</w:t>
      </w:r>
      <w:r>
        <w:rPr>
          <w:rFonts w:hint="eastAsia"/>
          <w:i w:val="0"/>
          <w:iCs w:val="0"/>
          <w:sz w:val="24"/>
          <w:highlight w:val="none"/>
        </w:rPr>
        <w:t>测量次数</w:t>
      </w:r>
      <w:r>
        <w:rPr>
          <w:rFonts w:hint="eastAsia"/>
          <w:sz w:val="24"/>
          <w:highlight w:val="none"/>
        </w:rPr>
        <w:t>。</w:t>
      </w:r>
    </w:p>
    <w:p w14:paraId="310DF8BA">
      <w:pPr>
        <w:spacing w:line="360" w:lineRule="auto"/>
        <w:outlineLvl w:val="1"/>
        <w:rPr>
          <w:rFonts w:hint="eastAsia" w:cs="Times New Roman"/>
          <w:kern w:val="2"/>
          <w:sz w:val="24"/>
          <w:szCs w:val="24"/>
          <w:highlight w:val="none"/>
          <w:lang w:val="en-US" w:eastAsia="zh-CN"/>
        </w:rPr>
      </w:pPr>
      <w:bookmarkStart w:id="66" w:name="_Toc6271"/>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 xml:space="preserve">  </w:t>
      </w:r>
      <w:r>
        <w:rPr>
          <w:rFonts w:hint="eastAsia"/>
          <w:sz w:val="24"/>
          <w:highlight w:val="none"/>
          <w:lang w:val="en-US" w:eastAsia="zh-CN"/>
        </w:rPr>
        <w:t>荧光发射光谱峰值波长</w:t>
      </w:r>
      <w:r>
        <w:rPr>
          <w:rFonts w:hint="eastAsia"/>
          <w:sz w:val="24"/>
          <w:highlight w:val="none"/>
        </w:rPr>
        <w:t>的测量重复性</w:t>
      </w:r>
      <w:bookmarkEnd w:id="66"/>
    </w:p>
    <w:p w14:paraId="10A26A62">
      <w:pPr>
        <w:spacing w:line="360" w:lineRule="auto"/>
        <w:ind w:firstLine="480"/>
        <w:outlineLvl w:val="1"/>
        <w:rPr>
          <w:rFonts w:hint="eastAsia" w:cs="Times New Roman"/>
          <w:kern w:val="2"/>
          <w:sz w:val="24"/>
          <w:szCs w:val="24"/>
          <w:highlight w:val="none"/>
          <w:lang w:val="en-US" w:eastAsia="zh-CN"/>
        </w:rPr>
      </w:pPr>
      <w:bookmarkStart w:id="67" w:name="_Toc10448"/>
      <w:r>
        <w:rPr>
          <w:rFonts w:hint="eastAsia"/>
          <w:sz w:val="24"/>
          <w:highlight w:val="none"/>
          <w:lang w:val="en-US" w:eastAsia="zh-CN"/>
        </w:rPr>
        <w:t>重复测量5次，荧光发射光谱峰值波长</w:t>
      </w:r>
      <w:r>
        <w:rPr>
          <w:rFonts w:hint="eastAsia"/>
          <w:sz w:val="24"/>
          <w:highlight w:val="none"/>
        </w:rPr>
        <w:t>的测量重复性</w:t>
      </w:r>
      <w:r>
        <w:rPr>
          <w:rFonts w:hint="eastAsia" w:cs="Times New Roman"/>
          <w:kern w:val="2"/>
          <w:sz w:val="24"/>
          <w:szCs w:val="24"/>
          <w:highlight w:val="none"/>
          <w:lang w:val="en-US" w:eastAsia="zh-CN"/>
        </w:rPr>
        <w:t>：</w:t>
      </w:r>
      <w:bookmarkEnd w:id="67"/>
    </w:p>
    <w:p w14:paraId="4C456068">
      <w:pPr>
        <w:spacing w:line="360" w:lineRule="auto"/>
        <w:jc w:val="right"/>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r>
              <m:rPr/>
              <w:rPr>
                <w:rFonts w:hint="default" w:ascii="Cambria Math" w:hAnsi="Cambria Math"/>
                <w:sz w:val="24"/>
                <w:highlight w:val="none"/>
              </w:rPr>
              <m:t>λ</m:t>
            </m:r>
            <m:ctrlPr>
              <w:rPr>
                <w:rFonts w:hint="default" w:ascii="Cambria Math" w:hAnsi="Cambria Math"/>
                <w:i/>
                <w:kern w:val="24"/>
                <w:sz w:val="24"/>
                <w:highlight w:val="none"/>
              </w:rPr>
            </m:ctrlPr>
          </m:e>
        </m:d>
        <m:r>
          <m:rPr/>
          <w:rPr>
            <w:rFonts w:hint="default" w:ascii="Cambria Math" w:hAnsi="Cambria Math"/>
            <w:sz w:val="24"/>
            <w:highlight w:val="none"/>
          </w:rPr>
          <m:t>=</m:t>
        </m:r>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w:rPr>
                                <w:rFonts w:hint="default" w:ascii="Cambria Math" w:hAnsi="Cambria Math" w:eastAsia="等线"/>
                                <w:color w:val="000000"/>
                                <w:kern w:val="24"/>
                                <w:sz w:val="24"/>
                                <w:highlight w:val="none"/>
                              </w:rPr>
                              <m:t>−</m:t>
                            </m:r>
                            <m:acc>
                              <m:accPr>
                                <m:chr m:val="̅"/>
                                <m:ctrlPr>
                                  <w:rPr>
                                    <w:rFonts w:hint="default" w:ascii="Cambria Math" w:hAnsi="Cambria Math"/>
                                    <w:i/>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m</m:t>
                                    </m:r>
                                    <m:ctrlPr>
                                      <w:rPr>
                                        <w:rFonts w:hint="default" w:ascii="Cambria Math" w:hAnsi="Cambria Math"/>
                                        <w:i/>
                                        <w:sz w:val="24"/>
                                        <w:highlight w:val="none"/>
                                      </w:rPr>
                                    </m:ctrlPr>
                                  </m:sub>
                                </m:sSub>
                                <m:ctrlPr>
                                  <w:rPr>
                                    <w:rFonts w:hint="default" w:ascii="Cambria Math" w:hAnsi="Cambria Math"/>
                                    <w:i/>
                                    <w:sz w:val="24"/>
                                    <w:highlight w:val="none"/>
                                  </w:rPr>
                                </m:ctrlPr>
                              </m:e>
                            </m:acc>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ascii="宋体" w:hAnsi="宋体" w:cs="宋体"/>
          <w:sz w:val="24"/>
          <w:highlight w:val="none"/>
        </w:rPr>
        <w:t>（</w:t>
      </w:r>
      <w:r>
        <w:rPr>
          <w:rFonts w:hint="eastAsia" w:ascii="宋体" w:hAnsi="宋体" w:cs="宋体"/>
          <w:sz w:val="24"/>
          <w:highlight w:val="none"/>
          <w:lang w:val="en-US" w:eastAsia="zh-CN"/>
        </w:rPr>
        <w:t>8</w:t>
      </w:r>
      <w:r>
        <w:rPr>
          <w:rFonts w:hint="eastAsia" w:ascii="宋体" w:hAnsi="宋体" w:cs="宋体"/>
          <w:sz w:val="24"/>
          <w:highlight w:val="none"/>
        </w:rPr>
        <w:t>）</w:t>
      </w:r>
    </w:p>
    <w:p w14:paraId="5576123C">
      <w:pPr>
        <w:spacing w:line="360" w:lineRule="auto"/>
        <w:ind w:firstLine="480" w:firstLineChars="200"/>
        <w:rPr>
          <w:rFonts w:hAnsi="Cambria Math"/>
          <w:sz w:val="24"/>
          <w:highlight w:val="none"/>
        </w:rPr>
      </w:pPr>
      <w:r>
        <w:rPr>
          <w:rFonts w:hint="eastAsia" w:hAnsi="Cambria Math"/>
          <w:sz w:val="24"/>
          <w:highlight w:val="none"/>
        </w:rPr>
        <w:t>式中：</w:t>
      </w:r>
    </w:p>
    <w:p w14:paraId="0580AD56">
      <w:pPr>
        <w:spacing w:line="360" w:lineRule="auto"/>
        <w:ind w:firstLine="480" w:firstLineChars="200"/>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r>
              <m:rPr/>
              <w:rPr>
                <w:rFonts w:hint="default" w:ascii="Cambria Math" w:hAnsi="Cambria Math"/>
                <w:sz w:val="24"/>
                <w:highlight w:val="none"/>
              </w:rPr>
              <m:t>λ</m:t>
            </m:r>
            <m:ctrlPr>
              <w:rPr>
                <w:rFonts w:hint="default" w:ascii="Cambria Math" w:hAnsi="Cambria Math"/>
                <w:i/>
                <w:kern w:val="24"/>
                <w:sz w:val="24"/>
                <w:highlight w:val="none"/>
              </w:rPr>
            </m:ctrlPr>
          </m:e>
        </m:d>
      </m:oMath>
      <w:r>
        <w:rPr>
          <w:iCs/>
          <w:sz w:val="24"/>
          <w:highlight w:val="none"/>
        </w:rPr>
        <w:t>——</w:t>
      </w:r>
      <w:r>
        <w:rPr>
          <w:rFonts w:hint="eastAsia"/>
          <w:sz w:val="24"/>
          <w:highlight w:val="none"/>
          <w:lang w:val="en-US" w:eastAsia="zh-CN"/>
        </w:rPr>
        <w:t>荧光发射光谱峰值波长</w:t>
      </w:r>
      <w:r>
        <w:rPr>
          <w:rFonts w:hint="eastAsia"/>
          <w:sz w:val="24"/>
          <w:highlight w:val="none"/>
        </w:rPr>
        <w:t>的测量重复性</w:t>
      </w:r>
      <w:r>
        <w:rPr>
          <w:rFonts w:hint="eastAsia"/>
          <w:iCs/>
          <w:sz w:val="24"/>
          <w:highlight w:val="none"/>
          <w:lang w:eastAsia="zh-CN"/>
        </w:rPr>
        <w:t>，</w:t>
      </w:r>
      <w:r>
        <w:rPr>
          <w:rFonts w:hint="eastAsia"/>
          <w:sz w:val="24"/>
          <w:highlight w:val="none"/>
          <w:lang w:val="en-US" w:eastAsia="zh-CN"/>
        </w:rPr>
        <w:t>nm</w:t>
      </w:r>
      <w:r>
        <w:rPr>
          <w:rFonts w:hint="eastAsia" w:hAnsi="Cambria Math"/>
          <w:sz w:val="24"/>
          <w:highlight w:val="none"/>
        </w:rPr>
        <w:t>；</w:t>
      </w:r>
    </w:p>
    <w:p w14:paraId="2EF98D9E">
      <w:pPr>
        <w:spacing w:line="360" w:lineRule="auto"/>
        <w:ind w:firstLine="480" w:firstLineChars="200"/>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测量的荧光发射光谱峰值波长</w:t>
      </w:r>
      <w:r>
        <w:rPr>
          <w:rFonts w:hint="eastAsia"/>
          <w:iCs/>
          <w:sz w:val="24"/>
          <w:highlight w:val="none"/>
          <w:lang w:eastAsia="zh-CN"/>
        </w:rPr>
        <w:t>，</w:t>
      </w:r>
      <w:r>
        <w:rPr>
          <w:rFonts w:hint="eastAsia"/>
          <w:sz w:val="24"/>
          <w:highlight w:val="none"/>
          <w:lang w:val="en-US" w:eastAsia="zh-CN"/>
        </w:rPr>
        <w:t>nm</w:t>
      </w:r>
      <w:r>
        <w:rPr>
          <w:iCs/>
          <w:sz w:val="24"/>
          <w:highlight w:val="none"/>
        </w:rPr>
        <w:t>；</w:t>
      </w:r>
    </w:p>
    <w:p w14:paraId="2F9D9A76">
      <w:pPr>
        <w:spacing w:line="360" w:lineRule="auto"/>
        <w:ind w:firstLine="480" w:firstLineChars="200"/>
        <w:rPr>
          <w:sz w:val="24"/>
          <w:highlight w:val="none"/>
        </w:rPr>
      </w:pPr>
      <m:oMath>
        <m:acc>
          <m:accPr>
            <m:chr m:val="̅"/>
            <m:ctrlPr>
              <w:rPr>
                <w:rFonts w:hint="default" w:ascii="Cambria Math" w:hAnsi="Cambria Math"/>
                <w:i/>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m</m:t>
                </m:r>
                <m:ctrlPr>
                  <w:rPr>
                    <w:rFonts w:hint="default" w:ascii="Cambria Math" w:hAnsi="Cambria Math"/>
                    <w:i/>
                    <w:sz w:val="24"/>
                    <w:highlight w:val="none"/>
                  </w:rPr>
                </m:ctrlPr>
              </m:sub>
            </m:sSub>
            <m:ctrlPr>
              <w:rPr>
                <w:rFonts w:hint="default" w:ascii="Cambria Math" w:hAnsi="Cambria Math"/>
                <w:i/>
                <w:sz w:val="24"/>
                <w:highlight w:val="none"/>
              </w:rPr>
            </m:ctrlPr>
          </m:e>
        </m:acc>
      </m:oMath>
      <w:r>
        <w:rPr>
          <w:iCs/>
          <w:sz w:val="24"/>
          <w:highlight w:val="none"/>
        </w:rPr>
        <w:t>——</w:t>
      </w:r>
      <w:r>
        <w:rPr>
          <w:rFonts w:hint="eastAsia"/>
          <w:sz w:val="24"/>
          <w:highlight w:val="none"/>
          <w:lang w:val="en-US" w:eastAsia="zh-CN"/>
        </w:rPr>
        <w:t>荧光发射光谱峰值波长</w:t>
      </w:r>
      <w:r>
        <w:rPr>
          <w:rFonts w:hint="eastAsia"/>
          <w:sz w:val="24"/>
          <w:highlight w:val="none"/>
          <w:lang w:eastAsia="zh-CN"/>
        </w:rPr>
        <w:t>的</w:t>
      </w:r>
      <w:r>
        <w:rPr>
          <w:rFonts w:hint="eastAsia"/>
          <w:sz w:val="24"/>
          <w:highlight w:val="none"/>
          <w:lang w:val="en-US" w:eastAsia="zh-CN"/>
        </w:rPr>
        <w:t>平均值</w:t>
      </w:r>
      <w:r>
        <w:rPr>
          <w:rFonts w:hint="eastAsia"/>
          <w:iCs/>
          <w:sz w:val="24"/>
          <w:highlight w:val="none"/>
          <w:lang w:eastAsia="zh-CN"/>
        </w:rPr>
        <w:t>，</w:t>
      </w:r>
      <w:r>
        <w:rPr>
          <w:rFonts w:hint="eastAsia"/>
          <w:sz w:val="24"/>
          <w:highlight w:val="none"/>
          <w:lang w:val="en-US" w:eastAsia="zh-CN"/>
        </w:rPr>
        <w:t>nm</w:t>
      </w:r>
      <w:r>
        <w:rPr>
          <w:rFonts w:hint="eastAsia"/>
          <w:sz w:val="24"/>
          <w:highlight w:val="none"/>
        </w:rPr>
        <w:t>；</w:t>
      </w:r>
    </w:p>
    <w:p w14:paraId="2F3BA6EC">
      <w:pPr>
        <w:autoSpaceDE w:val="0"/>
        <w:autoSpaceDN w:val="0"/>
        <w:adjustRightInd w:val="0"/>
        <w:spacing w:line="360" w:lineRule="auto"/>
        <w:ind w:firstLine="480" w:firstLineChars="200"/>
        <w:jc w:val="left"/>
        <w:rPr>
          <w:rFonts w:hint="eastAsia" w:cs="Times New Roman"/>
          <w:kern w:val="2"/>
          <w:sz w:val="24"/>
          <w:szCs w:val="24"/>
          <w:highlight w:val="none"/>
          <w:lang w:val="en-US" w:eastAsia="zh-CN"/>
        </w:rPr>
      </w:pPr>
      <w:r>
        <w:rPr>
          <w:rFonts w:hint="eastAsia"/>
          <w:i/>
          <w:iCs/>
          <w:sz w:val="24"/>
          <w:highlight w:val="none"/>
        </w:rPr>
        <w:t>n</w:t>
      </w:r>
      <w:r>
        <w:rPr>
          <w:i w:val="0"/>
          <w:iCs w:val="0"/>
          <w:sz w:val="24"/>
          <w:highlight w:val="none"/>
        </w:rPr>
        <w:t>——</w:t>
      </w:r>
      <w:r>
        <w:rPr>
          <w:rFonts w:hint="eastAsia"/>
          <w:i w:val="0"/>
          <w:iCs w:val="0"/>
          <w:sz w:val="24"/>
          <w:highlight w:val="none"/>
        </w:rPr>
        <w:t>测量次数</w:t>
      </w:r>
      <w:r>
        <w:rPr>
          <w:rFonts w:hint="eastAsia"/>
          <w:sz w:val="24"/>
          <w:highlight w:val="none"/>
        </w:rPr>
        <w:t>。</w:t>
      </w:r>
    </w:p>
    <w:p w14:paraId="5142E656">
      <w:pPr>
        <w:pStyle w:val="2"/>
        <w:keepNext/>
        <w:keepLines w:val="0"/>
        <w:pageBreakBefore w:val="0"/>
        <w:widowControl w:val="0"/>
        <w:kinsoku/>
        <w:wordWrap/>
        <w:overflowPunct/>
        <w:topLinePunct w:val="0"/>
        <w:autoSpaceDE/>
        <w:autoSpaceDN/>
        <w:bidi w:val="0"/>
        <w:adjustRightInd/>
        <w:snapToGrid/>
        <w:spacing w:before="157" w:beforeLines="50" w:after="157" w:afterLines="50"/>
        <w:ind w:firstLine="0" w:firstLineChars="0"/>
        <w:textAlignment w:val="auto"/>
        <w:rPr>
          <w:rFonts w:hint="eastAsia" w:eastAsia="黑体" w:cs="Times New Roman"/>
          <w:sz w:val="24"/>
          <w:szCs w:val="24"/>
          <w:highlight w:val="none"/>
        </w:rPr>
      </w:pPr>
      <w:bookmarkStart w:id="68" w:name="_Toc18695"/>
      <w:r>
        <w:rPr>
          <w:rFonts w:hint="eastAsia" w:eastAsia="黑体" w:cs="Times New Roman"/>
          <w:sz w:val="24"/>
          <w:szCs w:val="24"/>
          <w:highlight w:val="none"/>
          <w:lang w:val="en-US" w:eastAsia="zh-CN"/>
        </w:rPr>
        <w:t>8</w:t>
      </w:r>
      <w:r>
        <w:rPr>
          <w:rFonts w:hint="eastAsia" w:eastAsia="黑体" w:cs="Times New Roman"/>
          <w:sz w:val="24"/>
          <w:szCs w:val="24"/>
          <w:highlight w:val="none"/>
        </w:rPr>
        <w:t xml:space="preserve">  校准结果表达</w:t>
      </w:r>
      <w:bookmarkEnd w:id="68"/>
    </w:p>
    <w:p w14:paraId="74F442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校准结果应在校准证书上反映，校准证书应至少包括以下信息：</w:t>
      </w:r>
    </w:p>
    <w:p w14:paraId="7FA24E2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a</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标题，如“校准证书”；</w:t>
      </w:r>
    </w:p>
    <w:p w14:paraId="29B4E44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实验室名称和地址；</w:t>
      </w:r>
    </w:p>
    <w:p w14:paraId="771E2C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进行校准的地点（如果与实验室的地址不同）；</w:t>
      </w:r>
    </w:p>
    <w:p w14:paraId="61673D6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d</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证书或报告的唯一性标识（如编号），每页及总页数的标识；</w:t>
      </w:r>
    </w:p>
    <w:p w14:paraId="1F35D9E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客户的名称和地址；</w:t>
      </w:r>
    </w:p>
    <w:p w14:paraId="62A9A24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被校对象的描述和明确标识；</w:t>
      </w:r>
    </w:p>
    <w:p w14:paraId="694D4642">
      <w:pPr>
        <w:spacing w:line="360" w:lineRule="auto"/>
        <w:ind w:left="719" w:leftChars="228" w:hanging="240" w:hangingChars="100"/>
        <w:rPr>
          <w:rFonts w:hint="eastAsia" w:ascii="宋体" w:hAnsi="宋体" w:eastAsia="宋体" w:cs="宋体"/>
          <w:sz w:val="24"/>
          <w:szCs w:val="24"/>
          <w:highlight w:val="none"/>
        </w:rPr>
      </w:pPr>
      <w:r>
        <w:rPr>
          <w:rFonts w:hint="eastAsia" w:ascii="宋体" w:hAnsi="宋体" w:eastAsia="宋体" w:cs="宋体"/>
          <w:sz w:val="24"/>
          <w:szCs w:val="24"/>
          <w:highlight w:val="none"/>
        </w:rPr>
        <w:t>g</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进行校准的日期，如果与校准结果的有效性和应用有关时，应说明被校对象的接收日期；</w:t>
      </w:r>
    </w:p>
    <w:p w14:paraId="470D20B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h</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如果与校准结果的有效性和应用有关时，应对被校样品的抽样程序进行说明； </w:t>
      </w:r>
    </w:p>
    <w:p w14:paraId="404518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i</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校准所依据的技术规范的标识，包括名称及代号；</w:t>
      </w:r>
    </w:p>
    <w:p w14:paraId="79722BC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j</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本次校准所用测量标准的溯源性及有效性说明；</w:t>
      </w:r>
    </w:p>
    <w:p w14:paraId="4312C0D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k</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校准环境的描述；</w:t>
      </w:r>
    </w:p>
    <w:p w14:paraId="3A6AB73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校准结果及其测量不确定度的说明；</w:t>
      </w:r>
    </w:p>
    <w:p w14:paraId="6FF4B9C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m</w:t>
      </w:r>
      <w:r>
        <w:rPr>
          <w:rFonts w:hint="eastAsia" w:ascii="宋体" w:hAnsi="宋体" w:eastAsia="宋体" w:cs="宋体"/>
          <w:sz w:val="24"/>
          <w:szCs w:val="24"/>
          <w:highlight w:val="none"/>
          <w:lang w:eastAsia="zh-CN"/>
        </w:rPr>
        <w:t>）</w:t>
      </w:r>
      <w:r>
        <w:rPr>
          <w:rFonts w:hint="eastAsia" w:ascii="宋体" w:hAnsi="宋体" w:eastAsia="宋体" w:cs="宋体"/>
          <w:sz w:val="24"/>
          <w:highlight w:val="none"/>
        </w:rPr>
        <w:t>对校准规范偏离的说明（若有）；</w:t>
      </w:r>
    </w:p>
    <w:p w14:paraId="1713CE9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n</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校准证书或校准报告签发人的签名、职务或等效标识、以及签发日期；</w:t>
      </w:r>
    </w:p>
    <w:p w14:paraId="48314F6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o</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校准结果仅对被校对象有效的声明；</w:t>
      </w:r>
    </w:p>
    <w:p w14:paraId="67C0DA6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p</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未经实验室书面批准，不得部分复制证书的声明。</w:t>
      </w:r>
    </w:p>
    <w:p w14:paraId="41A1DA75">
      <w:pPr>
        <w:pStyle w:val="2"/>
        <w:keepNext/>
        <w:keepLines w:val="0"/>
        <w:pageBreakBefore w:val="0"/>
        <w:widowControl w:val="0"/>
        <w:kinsoku/>
        <w:wordWrap/>
        <w:overflowPunct/>
        <w:topLinePunct w:val="0"/>
        <w:autoSpaceDE/>
        <w:autoSpaceDN/>
        <w:bidi w:val="0"/>
        <w:adjustRightInd/>
        <w:snapToGrid/>
        <w:spacing w:before="156" w:beforeLines="50" w:after="156" w:afterLines="50"/>
        <w:ind w:firstLine="0" w:firstLineChars="0"/>
        <w:textAlignment w:val="auto"/>
        <w:rPr>
          <w:rFonts w:eastAsia="黑体"/>
          <w:sz w:val="24"/>
          <w:szCs w:val="24"/>
          <w:highlight w:val="none"/>
        </w:rPr>
      </w:pPr>
      <w:bookmarkStart w:id="69" w:name="_Toc12753"/>
      <w:r>
        <w:rPr>
          <w:rFonts w:hint="eastAsia" w:eastAsia="黑体"/>
          <w:sz w:val="24"/>
          <w:szCs w:val="24"/>
          <w:highlight w:val="none"/>
          <w:lang w:val="en-US" w:eastAsia="zh-CN"/>
        </w:rPr>
        <w:t>9</w:t>
      </w:r>
      <w:r>
        <w:rPr>
          <w:rFonts w:hint="eastAsia" w:eastAsia="黑体"/>
          <w:sz w:val="24"/>
          <w:szCs w:val="24"/>
          <w:highlight w:val="none"/>
        </w:rPr>
        <w:t xml:space="preserve">  复校时间间隔</w:t>
      </w:r>
      <w:bookmarkEnd w:id="69"/>
    </w:p>
    <w:p w14:paraId="11F2F6E7">
      <w:pPr>
        <w:tabs>
          <w:tab w:val="right" w:leader="middleDot" w:pos="9360"/>
          <w:tab w:val="right" w:leader="middleDot" w:pos="9450"/>
          <w:tab w:val="right" w:leader="dot" w:pos="11340"/>
          <w:tab w:val="right" w:leader="middleDot" w:pos="14742"/>
        </w:tabs>
        <w:spacing w:line="360" w:lineRule="auto"/>
        <w:ind w:firstLine="480" w:firstLineChars="200"/>
        <w:rPr>
          <w:rFonts w:hint="eastAsia" w:ascii="Arial" w:hAnsi="Arial" w:cs="Arial"/>
          <w:highlight w:val="none"/>
        </w:rPr>
      </w:pPr>
      <w:r>
        <w:rPr>
          <w:rFonts w:hint="eastAsia" w:hAnsi="宋体"/>
          <w:sz w:val="24"/>
          <w:highlight w:val="none"/>
        </w:rPr>
        <w:t>复校时间间隔由</w:t>
      </w:r>
      <w:r>
        <w:rPr>
          <w:rFonts w:hint="eastAsia" w:hAnsi="宋体"/>
          <w:sz w:val="24"/>
          <w:highlight w:val="none"/>
          <w:lang w:val="en-US" w:eastAsia="zh-CN"/>
        </w:rPr>
        <w:t>被校准对象使用情况、本身质量及使用者</w:t>
      </w:r>
      <w:r>
        <w:rPr>
          <w:rFonts w:hint="eastAsia" w:hAnsi="宋体"/>
          <w:sz w:val="24"/>
          <w:highlight w:val="none"/>
        </w:rPr>
        <w:t>等因素决定，</w:t>
      </w:r>
      <w:r>
        <w:rPr>
          <w:rFonts w:hint="eastAsia" w:hAnsi="宋体"/>
          <w:sz w:val="24"/>
          <w:highlight w:val="none"/>
          <w:lang w:val="en-US" w:eastAsia="zh-CN"/>
        </w:rPr>
        <w:t>因此送校单位可根据实际使用情况自主决定复校时间间隔</w:t>
      </w:r>
      <w:r>
        <w:rPr>
          <w:rFonts w:hint="eastAsia" w:hAnsi="宋体"/>
          <w:sz w:val="24"/>
          <w:highlight w:val="none"/>
        </w:rPr>
        <w:t>。</w:t>
      </w:r>
    </w:p>
    <w:p w14:paraId="6BC1659D">
      <w:pPr>
        <w:rPr>
          <w:rFonts w:hint="eastAsia" w:ascii="Arial" w:hAnsi="Arial" w:cs="Arial"/>
          <w:highlight w:val="none"/>
        </w:rPr>
      </w:pPr>
    </w:p>
    <w:p w14:paraId="1F9C4AAD">
      <w:pPr>
        <w:rPr>
          <w:rFonts w:hint="eastAsia" w:ascii="Arial" w:hAnsi="Arial" w:cs="Arial"/>
          <w:highlight w:val="none"/>
        </w:rPr>
      </w:pPr>
    </w:p>
    <w:p w14:paraId="1AA4A90C">
      <w:pPr>
        <w:rPr>
          <w:rFonts w:hint="eastAsia" w:ascii="Arial" w:hAnsi="Arial" w:cs="Arial"/>
          <w:highlight w:val="none"/>
        </w:rPr>
      </w:pPr>
    </w:p>
    <w:p w14:paraId="370F36BD">
      <w:pPr>
        <w:rPr>
          <w:rFonts w:ascii="Arial" w:hAnsi="Arial" w:cs="Arial"/>
          <w:highlight w:val="none"/>
        </w:rPr>
      </w:pPr>
    </w:p>
    <w:p w14:paraId="0292C92B">
      <w:pPr>
        <w:rPr>
          <w:rFonts w:hint="eastAsia" w:ascii="Arial" w:hAnsi="Arial" w:cs="Arial"/>
          <w:highlight w:val="none"/>
        </w:rPr>
      </w:pPr>
    </w:p>
    <w:p w14:paraId="13A06E0A">
      <w:pPr>
        <w:rPr>
          <w:rFonts w:hint="eastAsia" w:ascii="Arial" w:hAnsi="Arial" w:cs="Arial"/>
          <w:highlight w:val="none"/>
        </w:rPr>
      </w:pPr>
    </w:p>
    <w:p w14:paraId="421BE977">
      <w:pPr>
        <w:rPr>
          <w:rFonts w:hint="eastAsia" w:ascii="Arial" w:hAnsi="Arial" w:cs="Arial"/>
          <w:highlight w:val="none"/>
        </w:rPr>
      </w:pPr>
    </w:p>
    <w:p w14:paraId="0CEFAD6A">
      <w:pPr>
        <w:rPr>
          <w:rFonts w:hint="eastAsia" w:ascii="Arial" w:hAnsi="Arial" w:cs="Arial"/>
          <w:highlight w:val="none"/>
        </w:rPr>
      </w:pPr>
    </w:p>
    <w:p w14:paraId="170F375A">
      <w:pPr>
        <w:spacing w:line="500" w:lineRule="exact"/>
        <w:outlineLvl w:val="0"/>
        <w:rPr>
          <w:rFonts w:eastAsia="黑体"/>
          <w:bCs/>
          <w:sz w:val="28"/>
          <w:szCs w:val="28"/>
          <w:highlight w:val="none"/>
        </w:rPr>
        <w:sectPr>
          <w:pgSz w:w="11906" w:h="16838"/>
          <w:pgMar w:top="1264" w:right="1418" w:bottom="1418" w:left="1418" w:header="851" w:footer="992" w:gutter="0"/>
          <w:pgNumType w:start="1"/>
          <w:cols w:space="720" w:num="1"/>
          <w:docGrid w:type="lines" w:linePitch="312" w:charSpace="0"/>
        </w:sectPr>
      </w:pPr>
    </w:p>
    <w:p w14:paraId="34F9185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outlineLvl w:val="0"/>
        <w:rPr>
          <w:rFonts w:eastAsia="黑体"/>
          <w:bCs/>
          <w:sz w:val="28"/>
          <w:szCs w:val="28"/>
          <w:highlight w:val="none"/>
        </w:rPr>
      </w:pPr>
      <w:bookmarkStart w:id="70" w:name="_Toc9298"/>
      <w:r>
        <w:rPr>
          <w:rFonts w:eastAsia="黑体"/>
          <w:bCs/>
          <w:sz w:val="28"/>
          <w:szCs w:val="28"/>
          <w:highlight w:val="none"/>
        </w:rPr>
        <w:t>附录A</w:t>
      </w:r>
      <w:bookmarkEnd w:id="70"/>
    </w:p>
    <w:p w14:paraId="32BE0E2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s="黑体"/>
          <w:b/>
          <w:bCs/>
          <w:color w:val="auto"/>
          <w:sz w:val="28"/>
          <w:szCs w:val="28"/>
          <w:highlight w:val="none"/>
          <w:lang w:val="en-US" w:eastAsia="zh-CN"/>
        </w:rPr>
      </w:pPr>
      <w:bookmarkStart w:id="71" w:name="_Toc27298"/>
      <w:bookmarkStart w:id="72" w:name="_Toc21204"/>
      <w:r>
        <w:rPr>
          <w:rFonts w:hint="eastAsia" w:ascii="黑体" w:hAnsi="黑体" w:eastAsia="黑体" w:cs="黑体"/>
          <w:b w:val="0"/>
          <w:bCs w:val="0"/>
          <w:color w:val="auto"/>
          <w:sz w:val="28"/>
          <w:szCs w:val="28"/>
          <w:highlight w:val="none"/>
          <w:lang w:val="en-US" w:eastAsia="zh-CN"/>
        </w:rPr>
        <w:t>材料荧光特性校准结果的不确定度评定示例</w:t>
      </w:r>
      <w:bookmarkEnd w:id="71"/>
      <w:bookmarkEnd w:id="72"/>
    </w:p>
    <w:p w14:paraId="2D5E5AEA">
      <w:pPr>
        <w:tabs>
          <w:tab w:val="left" w:pos="5812"/>
        </w:tabs>
        <w:spacing w:line="360" w:lineRule="auto"/>
        <w:rPr>
          <w:rFonts w:hint="eastAsia" w:ascii="宋体" w:hAnsi="宋体" w:eastAsia="宋体" w:cs="宋体"/>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1</w:t>
      </w:r>
      <w:r>
        <w:rPr>
          <w:rFonts w:hint="eastAsia" w:ascii="宋体" w:hAnsi="宋体" w:eastAsia="宋体" w:cs="宋体"/>
          <w:sz w:val="24"/>
          <w:highlight w:val="none"/>
        </w:rPr>
        <w:t xml:space="preserve"> 荧光相对强度校准曲线不确定度评定</w:t>
      </w:r>
    </w:p>
    <w:p w14:paraId="0B2274B3">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1</w:t>
      </w:r>
      <w:r>
        <w:rPr>
          <w:rFonts w:hint="eastAsia" w:ascii="宋体" w:hAnsi="宋体" w:eastAsia="宋体" w:cs="宋体"/>
          <w:sz w:val="24"/>
          <w:highlight w:val="none"/>
        </w:rPr>
        <w:t>.1</w:t>
      </w:r>
      <w:r>
        <w:rPr>
          <w:rFonts w:hint="eastAsia" w:ascii="宋体" w:hAnsi="宋体" w:eastAsia="宋体" w:cs="宋体"/>
          <w:bCs/>
          <w:sz w:val="24"/>
          <w:highlight w:val="none"/>
        </w:rPr>
        <w:t xml:space="preserve"> 测量模型</w:t>
      </w:r>
    </w:p>
    <w:p w14:paraId="5256CD06">
      <w:pPr>
        <w:spacing w:line="360" w:lineRule="auto"/>
        <w:ind w:firstLine="480" w:firstLineChars="200"/>
        <w:rPr>
          <w:rFonts w:hint="eastAsia"/>
          <w:sz w:val="24"/>
          <w:highlight w:val="none"/>
          <w:lang w:eastAsia="zh-CN"/>
        </w:rPr>
      </w:pPr>
      <w:r>
        <w:rPr>
          <w:rFonts w:hint="eastAsia"/>
          <w:sz w:val="24"/>
          <w:highlight w:val="none"/>
          <w:lang w:val="en-US" w:eastAsia="zh-CN"/>
        </w:rPr>
        <w:t>荧光相对强度标准物质的</w:t>
      </w:r>
      <w:r>
        <w:rPr>
          <w:sz w:val="24"/>
          <w:highlight w:val="none"/>
        </w:rPr>
        <w:t>标准光谱曲线为</w:t>
      </w:r>
      <w:r>
        <w:rPr>
          <w:rFonts w:hint="eastAsia"/>
          <w:i/>
          <w:iCs/>
          <w:sz w:val="24"/>
          <w:highlight w:val="none"/>
          <w:lang w:val="en-US" w:eastAsia="zh-CN"/>
        </w:rPr>
        <w:t>I</w:t>
      </w:r>
      <w:r>
        <w:rPr>
          <w:sz w:val="24"/>
          <w:highlight w:val="none"/>
          <w:vertAlign w:val="subscript"/>
        </w:rPr>
        <w:t>s</w:t>
      </w:r>
      <w:r>
        <w:rPr>
          <w:sz w:val="24"/>
          <w:highlight w:val="none"/>
        </w:rPr>
        <w:t>(</w:t>
      </w:r>
      <w:r>
        <w:rPr>
          <w:i/>
          <w:iCs/>
          <w:sz w:val="24"/>
          <w:highlight w:val="none"/>
        </w:rPr>
        <w:t>λ</w:t>
      </w:r>
      <w:r>
        <w:rPr>
          <w:sz w:val="24"/>
          <w:highlight w:val="none"/>
        </w:rPr>
        <w:t>)，</w:t>
      </w:r>
      <w:r>
        <w:rPr>
          <w:rFonts w:hint="eastAsia"/>
          <w:sz w:val="24"/>
          <w:highlight w:val="none"/>
          <w:lang w:val="en-US" w:eastAsia="zh-CN"/>
        </w:rPr>
        <w:t>仪器</w:t>
      </w:r>
      <w:r>
        <w:rPr>
          <w:sz w:val="24"/>
          <w:highlight w:val="none"/>
        </w:rPr>
        <w:t>测得的光谱曲线为</w:t>
      </w:r>
      <w:r>
        <w:rPr>
          <w:rFonts w:hint="eastAsia"/>
          <w:i/>
          <w:iCs/>
          <w:sz w:val="24"/>
          <w:highlight w:val="none"/>
          <w:lang w:val="en-US" w:eastAsia="zh-CN"/>
        </w:rPr>
        <w:t>I</w:t>
      </w:r>
      <w:r>
        <w:rPr>
          <w:sz w:val="24"/>
          <w:highlight w:val="none"/>
          <w:vertAlign w:val="subscript"/>
        </w:rPr>
        <w:t>m</w:t>
      </w:r>
      <w:r>
        <w:rPr>
          <w:sz w:val="24"/>
          <w:highlight w:val="none"/>
        </w:rPr>
        <w:t>(</w:t>
      </w:r>
      <w:r>
        <w:rPr>
          <w:i/>
          <w:iCs/>
          <w:sz w:val="24"/>
          <w:highlight w:val="none"/>
        </w:rPr>
        <w:t>λ</w:t>
      </w:r>
      <w:r>
        <w:rPr>
          <w:sz w:val="24"/>
          <w:highlight w:val="none"/>
        </w:rPr>
        <w:t>)，荧光相对强度校准曲线为</w:t>
      </w:r>
      <w:r>
        <w:rPr>
          <w:rFonts w:hint="eastAsia"/>
          <w:sz w:val="24"/>
          <w:highlight w:val="none"/>
          <w:lang w:eastAsia="zh-CN"/>
        </w:rPr>
        <w:t>：</w:t>
      </w:r>
    </w:p>
    <w:p w14:paraId="3AECCC8C">
      <w:pPr>
        <w:spacing w:line="360" w:lineRule="auto"/>
        <w:ind w:firstLine="480" w:firstLineChars="200"/>
        <w:jc w:val="right"/>
        <w:rPr>
          <w:sz w:val="24"/>
          <w:highlight w:val="none"/>
        </w:rPr>
      </w:pPr>
      <m:oMath>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s</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hAnsi="Cambria Math"/>
          <w:i w:val="0"/>
          <w:sz w:val="24"/>
          <w:highlight w:val="none"/>
          <w:lang w:val="en-US" w:eastAsia="zh-CN"/>
        </w:rPr>
        <w:t xml:space="preserve">                          </w:t>
      </w:r>
      <w:r>
        <w:rPr>
          <w:iCs/>
          <w:kern w:val="24"/>
          <w:sz w:val="24"/>
          <w:highlight w:val="none"/>
        </w:rPr>
        <w:t>（</w:t>
      </w:r>
      <w:r>
        <w:rPr>
          <w:rFonts w:hint="default"/>
          <w:iCs/>
          <w:sz w:val="24"/>
          <w:highlight w:val="none"/>
        </w:rPr>
        <w:t>A</w:t>
      </w:r>
      <w:r>
        <w:rPr>
          <w:rFonts w:hint="eastAsia" w:ascii="宋体" w:hAnsi="宋体" w:cs="宋体"/>
          <w:iCs/>
          <w:sz w:val="24"/>
          <w:highlight w:val="none"/>
        </w:rPr>
        <w:t>.</w:t>
      </w:r>
      <w:r>
        <w:rPr>
          <w:rFonts w:hint="eastAsia" w:ascii="宋体" w:hAnsi="宋体" w:cs="宋体"/>
          <w:iCs/>
          <w:sz w:val="24"/>
          <w:highlight w:val="none"/>
          <w:lang w:val="en-US" w:eastAsia="zh-CN"/>
        </w:rPr>
        <w:t>1</w:t>
      </w:r>
      <w:r>
        <w:rPr>
          <w:iCs/>
          <w:kern w:val="24"/>
          <w:sz w:val="24"/>
          <w:highlight w:val="none"/>
        </w:rPr>
        <w:t>）</w:t>
      </w:r>
    </w:p>
    <w:p w14:paraId="3265D348">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1</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1A37D691">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以及具体的测量过程，测量不确定度来源主要包括以下几个方面：</w:t>
      </w:r>
    </w:p>
    <w:p w14:paraId="354E1074">
      <w:pPr>
        <w:spacing w:line="360" w:lineRule="auto"/>
        <w:rPr>
          <w:sz w:val="24"/>
          <w:highlight w:val="none"/>
          <w:vertAlign w:val="subscript"/>
        </w:rPr>
      </w:pPr>
      <w:r>
        <w:rPr>
          <w:rFonts w:hint="eastAsia" w:ascii="宋体" w:hAnsi="宋体" w:cs="宋体"/>
          <w:sz w:val="24"/>
          <w:highlight w:val="none"/>
        </w:rPr>
        <w:t>（1）</w:t>
      </w:r>
      <w:r>
        <w:rPr>
          <w:sz w:val="24"/>
          <w:highlight w:val="none"/>
        </w:rPr>
        <w:t>波长校准引入的相对标准不确定度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λ</w:t>
      </w:r>
      <w:r>
        <w:rPr>
          <w:sz w:val="24"/>
          <w:highlight w:val="none"/>
        </w:rPr>
        <w:t>)</w:t>
      </w:r>
    </w:p>
    <w:p w14:paraId="0614778A">
      <w:pPr>
        <w:autoSpaceDE w:val="0"/>
        <w:autoSpaceDN w:val="0"/>
        <w:adjustRightInd w:val="0"/>
        <w:spacing w:line="360" w:lineRule="auto"/>
        <w:ind w:firstLine="480" w:firstLineChars="200"/>
        <w:rPr>
          <w:sz w:val="24"/>
          <w:highlight w:val="none"/>
        </w:rPr>
      </w:pPr>
      <w:r>
        <w:rPr>
          <w:rFonts w:hint="eastAsia"/>
          <w:sz w:val="24"/>
          <w:highlight w:val="none"/>
        </w:rPr>
        <w:t>波长校准引入</w:t>
      </w:r>
      <w:r>
        <w:rPr>
          <w:sz w:val="24"/>
          <w:highlight w:val="none"/>
        </w:rPr>
        <w:t>的不确定度来源于</w:t>
      </w:r>
      <w:r>
        <w:rPr>
          <w:rFonts w:hint="eastAsia"/>
          <w:sz w:val="24"/>
          <w:highlight w:val="none"/>
        </w:rPr>
        <w:t>单色器</w:t>
      </w:r>
      <w:r>
        <w:rPr>
          <w:sz w:val="24"/>
          <w:highlight w:val="none"/>
        </w:rPr>
        <w:t>波长校准，由校准证书给出的相对扩展不确定度计算得到相对标准不确定度。</w:t>
      </w:r>
    </w:p>
    <w:p w14:paraId="5ADA4ED4">
      <w:pPr>
        <w:spacing w:line="360" w:lineRule="auto"/>
        <w:rPr>
          <w:sz w:val="24"/>
          <w:highlight w:val="none"/>
        </w:rPr>
      </w:pPr>
      <w:r>
        <w:rPr>
          <w:rFonts w:hint="eastAsia" w:ascii="宋体" w:hAnsi="宋体" w:cs="宋体"/>
          <w:sz w:val="24"/>
          <w:highlight w:val="none"/>
        </w:rPr>
        <w:t>（2）</w:t>
      </w:r>
      <w:r>
        <w:rPr>
          <w:sz w:val="24"/>
          <w:highlight w:val="none"/>
        </w:rPr>
        <w:t>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m</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229A8EFF">
      <w:pPr>
        <w:spacing w:line="360" w:lineRule="auto"/>
        <w:ind w:firstLine="480" w:firstLineChars="200"/>
        <w:rPr>
          <w:sz w:val="24"/>
          <w:highlight w:val="none"/>
        </w:rPr>
      </w:pPr>
      <w:r>
        <w:rPr>
          <w:sz w:val="24"/>
          <w:highlight w:val="none"/>
        </w:rPr>
        <w:t>由</w:t>
      </w:r>
      <w:r>
        <w:rPr>
          <w:rFonts w:hint="eastAsia"/>
          <w:sz w:val="24"/>
          <w:highlight w:val="none"/>
          <w:lang w:val="en-US" w:eastAsia="zh-CN"/>
        </w:rPr>
        <w:t>荧光相对强度标准物质荧光强度</w:t>
      </w:r>
      <w:r>
        <w:rPr>
          <w:sz w:val="24"/>
          <w:highlight w:val="none"/>
        </w:rPr>
        <w:t>的波动、PMT探测噪声等因素引入的不确定度，通过多次重复测量计算的相对</w:t>
      </w:r>
      <w:r>
        <w:rPr>
          <w:rFonts w:hint="eastAsia"/>
          <w:sz w:val="24"/>
          <w:highlight w:val="none"/>
        </w:rPr>
        <w:t>实验标准差</w:t>
      </w:r>
      <w:r>
        <w:rPr>
          <w:sz w:val="24"/>
          <w:highlight w:val="none"/>
        </w:rPr>
        <w:t>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为重复测量次数）作为该不确定度分量。</w:t>
      </w:r>
    </w:p>
    <w:p w14:paraId="02C9BBE8">
      <w:pPr>
        <w:spacing w:line="360" w:lineRule="auto"/>
        <w:rPr>
          <w:sz w:val="24"/>
          <w:highlight w:val="none"/>
          <w:vertAlign w:val="subscript"/>
        </w:rPr>
      </w:pPr>
      <w:r>
        <w:rPr>
          <w:rFonts w:hint="eastAsia" w:ascii="宋体" w:hAnsi="宋体" w:cs="宋体"/>
          <w:sz w:val="24"/>
          <w:highlight w:val="none"/>
        </w:rPr>
        <w:t>（3）</w:t>
      </w:r>
      <w:r>
        <w:rPr>
          <w:rFonts w:hint="eastAsia"/>
          <w:sz w:val="24"/>
          <w:highlight w:val="none"/>
          <w:lang w:val="en-US" w:eastAsia="zh-CN"/>
        </w:rPr>
        <w:t>荧光相对强度标准物质</w:t>
      </w:r>
      <w:r>
        <w:rPr>
          <w:sz w:val="24"/>
          <w:highlight w:val="none"/>
        </w:rPr>
        <w:t>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s</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74C18926">
      <w:pPr>
        <w:spacing w:line="360" w:lineRule="auto"/>
        <w:rPr>
          <w:sz w:val="24"/>
          <w:highlight w:val="none"/>
        </w:rPr>
      </w:pPr>
      <w:r>
        <w:rPr>
          <w:rFonts w:hint="eastAsia" w:ascii="宋体" w:hAnsi="宋体" w:cs="宋体"/>
          <w:sz w:val="24"/>
          <w:highlight w:val="none"/>
        </w:rPr>
        <w:t>（4）</w:t>
      </w:r>
      <w:r>
        <w:rPr>
          <w:sz w:val="24"/>
          <w:highlight w:val="none"/>
        </w:rPr>
        <w:t>环境温度的影响</w:t>
      </w:r>
    </w:p>
    <w:p w14:paraId="32AFAEE4">
      <w:pPr>
        <w:spacing w:line="360" w:lineRule="auto"/>
        <w:ind w:firstLine="480" w:firstLineChars="200"/>
        <w:rPr>
          <w:sz w:val="24"/>
          <w:highlight w:val="none"/>
        </w:rPr>
      </w:pPr>
      <w:r>
        <w:rPr>
          <w:sz w:val="24"/>
          <w:highlight w:val="none"/>
        </w:rPr>
        <w:t>本规范规定的校准环境的温度条件为</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r>
        <w:rPr>
          <w:sz w:val="24"/>
          <w:highlight w:val="none"/>
        </w:rPr>
        <w:t>，在此范围内</w:t>
      </w:r>
      <w:r>
        <w:rPr>
          <w:rFonts w:hint="eastAsia"/>
          <w:sz w:val="24"/>
          <w:highlight w:val="none"/>
        </w:rPr>
        <w:t>，</w:t>
      </w:r>
      <w:r>
        <w:rPr>
          <w:sz w:val="24"/>
          <w:highlight w:val="none"/>
        </w:rPr>
        <w:t>温度的波动对测量结果影响较小，因此可不予考虑。</w:t>
      </w:r>
    </w:p>
    <w:p w14:paraId="737066C2">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1</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1B693AD0">
      <w:pPr>
        <w:numPr>
          <w:ilvl w:val="255"/>
          <w:numId w:val="0"/>
        </w:numPr>
        <w:spacing w:line="360" w:lineRule="auto"/>
        <w:rPr>
          <w:sz w:val="24"/>
          <w:highlight w:val="none"/>
        </w:rPr>
      </w:pPr>
      <w:r>
        <w:rPr>
          <w:rFonts w:hint="eastAsia" w:ascii="宋体" w:hAnsi="宋体" w:cs="宋体"/>
          <w:sz w:val="24"/>
          <w:highlight w:val="none"/>
        </w:rPr>
        <w:t>（1）</w:t>
      </w:r>
      <w:r>
        <w:rPr>
          <w:sz w:val="24"/>
          <w:highlight w:val="none"/>
        </w:rPr>
        <w:t>波长校准引入的相对标准不确定度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λ</w:t>
      </w:r>
      <w:r>
        <w:rPr>
          <w:sz w:val="24"/>
          <w:highlight w:val="none"/>
        </w:rPr>
        <w:t>)</w:t>
      </w:r>
    </w:p>
    <w:p w14:paraId="78892BEA">
      <w:pPr>
        <w:spacing w:line="360" w:lineRule="auto"/>
        <w:ind w:firstLine="480" w:firstLineChars="200"/>
        <w:rPr>
          <w:sz w:val="24"/>
          <w:highlight w:val="none"/>
        </w:rPr>
      </w:pPr>
      <w:r>
        <w:rPr>
          <w:sz w:val="24"/>
          <w:highlight w:val="none"/>
        </w:rPr>
        <w:t>证书中</w:t>
      </w:r>
      <w:r>
        <w:rPr>
          <w:rFonts w:hint="eastAsia"/>
          <w:sz w:val="24"/>
          <w:highlight w:val="none"/>
          <w:lang w:eastAsia="zh-CN"/>
        </w:rPr>
        <w:t>汞氩灯</w:t>
      </w:r>
      <w:r>
        <w:rPr>
          <w:sz w:val="24"/>
          <w:highlight w:val="none"/>
        </w:rPr>
        <w:t>的扩展不确定度</w:t>
      </w:r>
      <w:r>
        <w:rPr>
          <w:i/>
          <w:iCs/>
          <w:sz w:val="24"/>
          <w:highlight w:val="none"/>
        </w:rPr>
        <w:t>U</w:t>
      </w:r>
      <w:r>
        <w:rPr>
          <w:sz w:val="24"/>
          <w:highlight w:val="none"/>
        </w:rPr>
        <w:t>(</w:t>
      </w:r>
      <w:r>
        <w:rPr>
          <w:i/>
          <w:iCs/>
          <w:sz w:val="24"/>
          <w:highlight w:val="none"/>
        </w:rPr>
        <w:t>λ</w:t>
      </w:r>
      <w:r>
        <w:rPr>
          <w:sz w:val="24"/>
          <w:highlight w:val="none"/>
        </w:rPr>
        <w:t>)为</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sz w:val="24"/>
          <w:highlight w:val="none"/>
        </w:rPr>
        <w:t>nm，包含因子</w:t>
      </w:r>
      <w:r>
        <w:rPr>
          <w:i/>
          <w:iCs/>
          <w:sz w:val="24"/>
          <w:highlight w:val="none"/>
        </w:rPr>
        <w:t>k</w:t>
      </w:r>
      <w:r>
        <w:rPr>
          <w:sz w:val="24"/>
          <w:highlight w:val="none"/>
        </w:rPr>
        <w:t>=</w:t>
      </w:r>
      <w:r>
        <w:rPr>
          <w:rFonts w:hint="eastAsia" w:ascii="宋体" w:hAnsi="宋体" w:cs="宋体"/>
          <w:sz w:val="24"/>
          <w:highlight w:val="none"/>
        </w:rPr>
        <w:t>2</w:t>
      </w:r>
      <w:r>
        <w:rPr>
          <w:sz w:val="24"/>
          <w:highlight w:val="none"/>
        </w:rPr>
        <w:t>，</w:t>
      </w:r>
      <w:r>
        <w:rPr>
          <w:rFonts w:hint="eastAsia"/>
          <w:sz w:val="24"/>
          <w:highlight w:val="none"/>
        </w:rPr>
        <w:t>以</w:t>
      </w:r>
      <w:r>
        <w:rPr>
          <w:rFonts w:hint="eastAsia" w:ascii="宋体" w:hAnsi="宋体" w:cs="宋体"/>
          <w:sz w:val="24"/>
          <w:highlight w:val="none"/>
        </w:rPr>
        <w:t xml:space="preserve">500 </w:t>
      </w:r>
      <w:r>
        <w:rPr>
          <w:rFonts w:hint="eastAsia"/>
          <w:sz w:val="24"/>
          <w:highlight w:val="none"/>
        </w:rPr>
        <w:t>nm处为例，</w:t>
      </w:r>
      <w:r>
        <w:rPr>
          <w:sz w:val="24"/>
          <w:highlight w:val="none"/>
        </w:rPr>
        <w:t>相对标准不确定度</w:t>
      </w:r>
      <w:r>
        <w:rPr>
          <w:rFonts w:hint="eastAsia"/>
          <w:sz w:val="24"/>
          <w:highlight w:val="none"/>
        </w:rPr>
        <w:t>为</w:t>
      </w:r>
      <w:r>
        <w:rPr>
          <w:sz w:val="24"/>
          <w:highlight w:val="none"/>
        </w:rPr>
        <w:t>：</w:t>
      </w:r>
    </w:p>
    <w:p w14:paraId="7892A8CD">
      <w:pPr>
        <w:spacing w:line="360" w:lineRule="auto"/>
        <w:ind w:firstLine="420"/>
        <w:rPr>
          <w:sz w:val="24"/>
          <w:highlight w:val="none"/>
        </w:rPr>
      </w:pPr>
      <m:oMathPara>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rel</m:t>
              </m:r>
              <m:ctrlPr>
                <w:rPr>
                  <w:rFonts w:hint="default" w:ascii="Cambria Math" w:hAnsi="Cambria Math"/>
                  <w:i/>
                  <w:sz w:val="24"/>
                  <w:highlight w:val="none"/>
                </w:rPr>
              </m:ctrlPr>
            </m:sub>
          </m:sSub>
          <m:r>
            <m:rPr>
              <m:sty m:val="p"/>
            </m:rPr>
            <w:rPr>
              <w:rFonts w:hint="default" w:ascii="Cambria Math" w:hAnsi="Cambria Math"/>
              <w:sz w:val="24"/>
              <w:highlight w:val="none"/>
            </w:rPr>
            <m:t>(</m:t>
          </m:r>
          <m:r>
            <m:rPr/>
            <w:rPr>
              <w:rFonts w:hint="default" w:ascii="Cambria Math" w:hAnsi="Cambria Math"/>
              <w:sz w:val="24"/>
              <w:highlight w:val="none"/>
              <w:vertAlign w:val="subscript"/>
            </w:rPr>
            <m:t>λ</m:t>
          </m:r>
          <m:r>
            <m:rPr>
              <m:sty m:val="p"/>
            </m:rPr>
            <w:rPr>
              <w:rFonts w:hint="default" w:ascii="Cambria Math" w:hAnsi="Cambria Math"/>
              <w:sz w:val="24"/>
              <w:highlight w:val="none"/>
            </w:rPr>
            <m:t>)=</m:t>
          </m:r>
          <m:f>
            <m:fPr>
              <m:ctrlPr>
                <w:rPr>
                  <w:rFonts w:hint="default" w:ascii="Cambria Math" w:hAnsi="Cambria Math"/>
                  <w:sz w:val="24"/>
                  <w:highlight w:val="none"/>
                </w:rPr>
              </m:ctrlPr>
            </m:fPr>
            <m:num>
              <m:r>
                <m:rPr/>
                <w:rPr>
                  <w:rFonts w:hint="default" w:ascii="Cambria Math" w:hAnsi="Cambria Math"/>
                  <w:sz w:val="24"/>
                  <w:highlight w:val="none"/>
                </w:rPr>
                <m:t>U</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sz w:val="24"/>
                  <w:highlight w:val="none"/>
                </w:rPr>
              </m:ctrlPr>
            </m:num>
            <m:den>
              <m:r>
                <m:rPr/>
                <w:rPr>
                  <w:rFonts w:hint="default" w:ascii="Cambria Math" w:hAnsi="Cambria Math"/>
                  <w:sz w:val="24"/>
                  <w:highlight w:val="none"/>
                  <w:vertAlign w:val="subscript"/>
                </w:rPr>
                <m:t>λ</m:t>
              </m:r>
              <m:r>
                <m:rPr/>
                <w:rPr>
                  <w:rFonts w:hint="default" w:ascii="Cambria Math" w:hAnsi="Cambria Math"/>
                  <w:sz w:val="24"/>
                  <w:highlight w:val="none"/>
                </w:rPr>
                <m:t>k</m:t>
              </m:r>
              <m:ctrlPr>
                <w:rPr>
                  <w:rFonts w:hint="default" w:ascii="Cambria Math" w:hAnsi="Cambria Math"/>
                  <w:sz w:val="24"/>
                  <w:highlight w:val="none"/>
                </w:rPr>
              </m:ctrlPr>
            </m:den>
          </m:f>
          <m:r>
            <m:rPr>
              <m:sty m:val="p"/>
            </m:rPr>
            <w:rPr>
              <w:rFonts w:hint="default" w:ascii="Cambria Math" w:hAnsi="Cambria Math"/>
              <w:sz w:val="24"/>
              <w:highlight w:val="none"/>
            </w:rPr>
            <m:t>=</m:t>
          </m:r>
          <m:f>
            <m:fPr>
              <m:ctrlPr>
                <w:rPr>
                  <w:rFonts w:hint="default" w:ascii="Cambria Math" w:hAnsi="Cambria Math"/>
                  <w:sz w:val="24"/>
                  <w:highlight w:val="none"/>
                </w:rPr>
              </m:ctrlPr>
            </m:fPr>
            <m:num>
              <m:r>
                <m:rPr>
                  <m:sty m:val="p"/>
                </m:rPr>
                <w:rPr>
                  <w:rFonts w:hint="default" w:ascii="Cambria Math" w:hAnsi="Cambria Math"/>
                  <w:sz w:val="24"/>
                  <w:highlight w:val="none"/>
                </w:rPr>
                <m:t>0.1</m:t>
              </m:r>
              <m:r>
                <m:rPr>
                  <m:sty m:val="p"/>
                </m:rPr>
                <w:rPr>
                  <w:rFonts w:hint="default" w:ascii="Cambria Math" w:hAnsi="Cambria Math"/>
                  <w:sz w:val="24"/>
                  <w:highlight w:val="none"/>
                  <w:lang w:val="en-US" w:eastAsia="zh-CN"/>
                </w:rPr>
                <m:t>0</m:t>
              </m:r>
              <m:r>
                <m:rPr>
                  <m:sty m:val="p"/>
                </m:rPr>
                <w:rPr>
                  <w:rFonts w:hint="default" w:ascii="Cambria Math" w:hAnsi="Cambria Math"/>
                  <w:sz w:val="24"/>
                  <w:highlight w:val="none"/>
                </w:rPr>
                <m:t xml:space="preserve"> nm</m:t>
              </m:r>
              <m:ctrlPr>
                <w:rPr>
                  <w:rFonts w:hint="default" w:ascii="Cambria Math" w:hAnsi="Cambria Math"/>
                  <w:sz w:val="24"/>
                  <w:highlight w:val="none"/>
                </w:rPr>
              </m:ctrlPr>
            </m:num>
            <m:den>
              <m:r>
                <m:rPr>
                  <m:sty m:val="p"/>
                </m:rPr>
                <w:rPr>
                  <w:rFonts w:hint="default" w:ascii="Cambria Math" w:hAnsi="Cambria Math"/>
                  <w:sz w:val="24"/>
                  <w:highlight w:val="none"/>
                </w:rPr>
                <m:t>1000 nm</m:t>
              </m:r>
              <m:ctrlPr>
                <w:rPr>
                  <w:rFonts w:hint="default" w:ascii="Cambria Math" w:hAnsi="Cambria Math"/>
                  <w:sz w:val="24"/>
                  <w:highlight w:val="none"/>
                </w:rPr>
              </m:ctrlPr>
            </m:den>
          </m:f>
          <m:r>
            <m:rPr/>
            <w:rPr>
              <w:rFonts w:hint="default" w:ascii="Cambria Math" w:hAnsi="Cambria Math"/>
              <w:sz w:val="24"/>
              <w:highlight w:val="none"/>
            </w:rPr>
            <m:t>=0.01%</m:t>
          </m:r>
        </m:oMath>
      </m:oMathPara>
    </w:p>
    <w:p w14:paraId="28A5D8B9">
      <w:pPr>
        <w:spacing w:line="360" w:lineRule="auto"/>
        <w:rPr>
          <w:sz w:val="24"/>
          <w:highlight w:val="none"/>
        </w:rPr>
      </w:pPr>
      <w:r>
        <w:rPr>
          <w:rFonts w:hint="eastAsia" w:ascii="宋体" w:hAnsi="宋体" w:cs="宋体"/>
          <w:sz w:val="24"/>
          <w:highlight w:val="none"/>
        </w:rPr>
        <w:t>（2）</w:t>
      </w:r>
      <w:r>
        <w:rPr>
          <w:sz w:val="24"/>
          <w:highlight w:val="none"/>
        </w:rPr>
        <w:t>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m</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6E617FCA">
      <w:pPr>
        <w:spacing w:line="360" w:lineRule="auto"/>
        <w:ind w:firstLine="480" w:firstLineChars="200"/>
        <w:rPr>
          <w:rFonts w:hAnsi="Cambria Math"/>
          <w:iCs/>
          <w:kern w:val="24"/>
          <w:sz w:val="24"/>
          <w:highlight w:val="none"/>
        </w:rPr>
      </w:pPr>
      <w:r>
        <w:rPr>
          <w:sz w:val="24"/>
          <w:highlight w:val="none"/>
        </w:rPr>
        <w:t>重复测量</w:t>
      </w:r>
      <w:r>
        <w:rPr>
          <w:rFonts w:hint="eastAsia"/>
          <w:sz w:val="24"/>
          <w:highlight w:val="none"/>
          <w:lang w:val="en-US" w:eastAsia="zh-CN"/>
        </w:rPr>
        <w:t>标准物质</w:t>
      </w:r>
      <w:r>
        <w:rPr>
          <w:sz w:val="24"/>
          <w:highlight w:val="none"/>
        </w:rPr>
        <w:t>引入的相对标准不确定度通过式（</w:t>
      </w:r>
      <w:r>
        <w:rPr>
          <w:rFonts w:hint="default"/>
          <w:iCs/>
          <w:sz w:val="24"/>
          <w:highlight w:val="none"/>
        </w:rPr>
        <w:t>A</w:t>
      </w:r>
      <w:r>
        <w:rPr>
          <w:rFonts w:hint="eastAsia" w:ascii="宋体" w:hAnsi="宋体" w:cs="宋体"/>
          <w:iCs/>
          <w:sz w:val="24"/>
          <w:highlight w:val="none"/>
        </w:rPr>
        <w:t>.</w:t>
      </w:r>
      <w:r>
        <w:rPr>
          <w:rFonts w:hint="eastAsia" w:ascii="宋体" w:hAnsi="宋体" w:cs="宋体"/>
          <w:iCs/>
          <w:sz w:val="24"/>
          <w:highlight w:val="none"/>
          <w:lang w:eastAsia="zh-CN"/>
        </w:rPr>
        <w:t>2</w:t>
      </w:r>
      <w:r>
        <w:rPr>
          <w:sz w:val="24"/>
          <w:highlight w:val="none"/>
        </w:rPr>
        <w:t>）计算</w:t>
      </w:r>
      <w:r>
        <w:rPr>
          <w:rFonts w:hint="eastAsia"/>
          <w:sz w:val="24"/>
          <w:highlight w:val="none"/>
        </w:rPr>
        <w:t>:</w:t>
      </w:r>
    </w:p>
    <w:p w14:paraId="3438C38F">
      <w:pPr>
        <w:autoSpaceDE w:val="0"/>
        <w:autoSpaceDN w:val="0"/>
        <w:adjustRightInd w:val="0"/>
        <w:spacing w:line="360" w:lineRule="auto"/>
        <w:ind w:left="178" w:leftChars="85" w:firstLine="240" w:firstLineChars="100"/>
        <w:jc w:val="right"/>
        <w:rPr>
          <w:iCs/>
          <w:kern w:val="24"/>
          <w:sz w:val="24"/>
          <w:highlight w:val="none"/>
        </w:rPr>
      </w:pPr>
      <m:oMath>
        <m:sSub>
          <m:sSubPr>
            <m:ctrlPr>
              <w:rPr>
                <w:rFonts w:hint="default" w:ascii="Cambria Math" w:hAnsi="Cambria Math"/>
                <w:i/>
                <w:iCs/>
                <w:kern w:val="24"/>
                <w:sz w:val="24"/>
                <w:highlight w:val="none"/>
              </w:rPr>
            </m:ctrlPr>
          </m:sSubPr>
          <m:e>
            <m:r>
              <m:rPr/>
              <w:rPr>
                <w:rFonts w:hint="default" w:ascii="Cambria Math" w:hAnsi="Cambria Math"/>
                <w:kern w:val="24"/>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kern w:val="24"/>
            <w:sz w:val="24"/>
            <w:highlight w:val="none"/>
          </w:rPr>
          <m:t>=</m:t>
        </m:r>
        <m:f>
          <m:fPr>
            <m:ctrlPr>
              <w:rPr>
                <w:rFonts w:hint="default" w:ascii="Cambria Math" w:hAnsi="Cambria Math"/>
                <w:i/>
                <w:kern w:val="24"/>
                <w:sz w:val="24"/>
                <w:highlight w:val="none"/>
              </w:rPr>
            </m:ctrlPr>
          </m:fPr>
          <m:num>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ctrlPr>
              <w:rPr>
                <w:rFonts w:hint="default" w:ascii="Cambria Math" w:hAnsi="Cambria Math"/>
                <w:i/>
                <w:kern w:val="24"/>
                <w:sz w:val="24"/>
                <w:highlight w:val="none"/>
              </w:rPr>
            </m:ctrlPr>
          </m:num>
          <m:den>
            <m:acc>
              <m:accPr>
                <m:chr m:val="̅"/>
                <m:ctrlPr>
                  <w:rPr>
                    <w:rFonts w:hint="default" w:ascii="Cambria Math" w:hAnsi="Cambria Math"/>
                    <w:i/>
                    <w:kern w:val="24"/>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acc>
            <m:rad>
              <m:radPr>
                <m:degHide m:val="1"/>
                <m:ctrlPr>
                  <w:rPr>
                    <w:rFonts w:hint="default" w:ascii="Cambria Math" w:hAnsi="Cambria Math"/>
                    <w:i/>
                    <w:kern w:val="24"/>
                    <w:sz w:val="24"/>
                    <w:highlight w:val="none"/>
                  </w:rPr>
                </m:ctrlPr>
              </m:radPr>
              <m:deg>
                <m:ctrlPr>
                  <w:rPr>
                    <w:rFonts w:hint="default" w:ascii="Cambria Math" w:hAnsi="Cambria Math"/>
                    <w:i/>
                    <w:kern w:val="24"/>
                    <w:sz w:val="24"/>
                    <w:highlight w:val="none"/>
                  </w:rPr>
                </m:ctrlPr>
              </m:deg>
              <m:e>
                <m:r>
                  <m:rPr/>
                  <w:rPr>
                    <w:rFonts w:hint="default" w:ascii="Cambria Math" w:hAnsi="Cambria Math"/>
                    <w:kern w:val="24"/>
                    <w:sz w:val="24"/>
                    <w:highlight w:val="none"/>
                  </w:rPr>
                  <m:t>n</m:t>
                </m:r>
                <m:ctrlPr>
                  <w:rPr>
                    <w:rFonts w:hint="default" w:ascii="Cambria Math" w:hAnsi="Cambria Math"/>
                    <w:i/>
                    <w:kern w:val="24"/>
                    <w:sz w:val="24"/>
                    <w:highlight w:val="none"/>
                  </w:rPr>
                </m:ctrlPr>
              </m:e>
            </m:rad>
            <m:ctrlPr>
              <w:rPr>
                <w:rFonts w:hint="default" w:ascii="Cambria Math" w:hAnsi="Cambria Math"/>
                <w:i/>
                <w:kern w:val="24"/>
                <w:sz w:val="24"/>
                <w:highlight w:val="none"/>
              </w:rPr>
            </m:ctrlPr>
          </m:den>
        </m:f>
        <m:r>
          <m:rPr/>
          <w:rPr>
            <w:rFonts w:hint="default" w:ascii="Cambria Math" w:hAnsi="Cambria Math"/>
            <w:kern w:val="24"/>
            <w:sz w:val="24"/>
            <w:highlight w:val="none"/>
          </w:rPr>
          <m:t>=</m:t>
        </m:r>
        <m:f>
          <m:fPr>
            <m:ctrlPr>
              <w:rPr>
                <w:rFonts w:hint="default" w:ascii="Cambria Math" w:hAnsi="Cambria Math"/>
                <w:i/>
                <w:kern w:val="24"/>
                <w:sz w:val="24"/>
                <w:highlight w:val="none"/>
              </w:rPr>
            </m:ctrlPr>
          </m:fPr>
          <m:num>
            <m:r>
              <m:rPr/>
              <w:rPr>
                <w:rFonts w:hint="default" w:ascii="Cambria Math" w:hAnsi="Cambria Math"/>
                <w:kern w:val="24"/>
                <w:sz w:val="24"/>
                <w:highlight w:val="none"/>
              </w:rPr>
              <m:t>1</m:t>
            </m:r>
            <m:ctrlPr>
              <w:rPr>
                <w:rFonts w:hint="default" w:ascii="Cambria Math" w:hAnsi="Cambria Math"/>
                <w:i/>
                <w:kern w:val="24"/>
                <w:sz w:val="24"/>
                <w:highlight w:val="none"/>
              </w:rPr>
            </m:ctrlPr>
          </m:num>
          <m:den>
            <m:acc>
              <m:accPr>
                <m:chr m:val="̅"/>
                <m:ctrlPr>
                  <w:rPr>
                    <w:rFonts w:hint="default" w:ascii="Cambria Math" w:hAnsi="Cambria Math"/>
                    <w:i/>
                    <w:kern w:val="24"/>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acc>
            <m:ctrlPr>
              <w:rPr>
                <w:rFonts w:hint="default" w:ascii="Cambria Math" w:hAnsi="Cambria Math"/>
                <w:i/>
                <w:kern w:val="24"/>
                <w:sz w:val="24"/>
                <w:highlight w:val="none"/>
              </w:rPr>
            </m:ctrlPr>
          </m:den>
        </m:f>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eastAsia="等线"/>
                                <w:color w:val="000000"/>
                                <w:kern w:val="24"/>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iCs/>
          <w:kern w:val="24"/>
          <w:sz w:val="24"/>
          <w:highlight w:val="none"/>
          <w:lang w:val="en-US" w:eastAsia="zh-CN"/>
        </w:rPr>
        <w:t xml:space="preserve"> </w:t>
      </w:r>
      <w:r>
        <w:rPr>
          <w:rFonts w:hint="eastAsia"/>
          <w:iCs/>
          <w:kern w:val="24"/>
          <w:sz w:val="24"/>
          <w:highlight w:val="none"/>
        </w:rPr>
        <w:t xml:space="preserve">         </w:t>
      </w:r>
      <w:r>
        <w:rPr>
          <w:iCs/>
          <w:kern w:val="24"/>
          <w:sz w:val="24"/>
          <w:highlight w:val="none"/>
        </w:rPr>
        <w:t xml:space="preserve"> （</w:t>
      </w:r>
      <w:r>
        <w:rPr>
          <w:rFonts w:hint="default"/>
          <w:iCs/>
          <w:sz w:val="24"/>
          <w:highlight w:val="none"/>
        </w:rPr>
        <w:t>A</w:t>
      </w:r>
      <w:r>
        <w:rPr>
          <w:rFonts w:hint="eastAsia" w:ascii="宋体" w:hAnsi="宋体" w:cs="宋体"/>
          <w:iCs/>
          <w:sz w:val="24"/>
          <w:highlight w:val="none"/>
        </w:rPr>
        <w:t>.</w:t>
      </w:r>
      <w:r>
        <w:rPr>
          <w:rFonts w:hint="eastAsia" w:ascii="宋体" w:hAnsi="宋体" w:cs="宋体"/>
          <w:iCs/>
          <w:sz w:val="24"/>
          <w:highlight w:val="none"/>
          <w:lang w:eastAsia="zh-CN"/>
        </w:rPr>
        <w:t>2</w:t>
      </w:r>
      <w:r>
        <w:rPr>
          <w:iCs/>
          <w:kern w:val="24"/>
          <w:sz w:val="24"/>
          <w:highlight w:val="none"/>
        </w:rPr>
        <w:t>）</w:t>
      </w:r>
    </w:p>
    <w:p w14:paraId="442BE42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3478D981">
      <w:pPr>
        <w:autoSpaceDE w:val="0"/>
        <w:autoSpaceDN w:val="0"/>
        <w:adjustRightInd w:val="0"/>
        <w:spacing w:line="360" w:lineRule="auto"/>
        <w:ind w:firstLine="480" w:firstLineChars="200"/>
        <w:rPr>
          <w:iCs/>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oMath>
      <w:r>
        <w:rPr>
          <w:iCs/>
          <w:sz w:val="24"/>
          <w:highlight w:val="none"/>
        </w:rPr>
        <w:t>——</w:t>
      </w:r>
      <w:r>
        <w:rPr>
          <w:rFonts w:hint="eastAsia"/>
          <w:iCs/>
          <w:sz w:val="24"/>
          <w:highlight w:val="none"/>
          <w:lang w:val="en-US" w:eastAsia="zh-CN"/>
        </w:rPr>
        <w:t>荧光相对强度</w:t>
      </w:r>
      <w:r>
        <w:rPr>
          <w:rFonts w:hint="eastAsia"/>
          <w:iCs/>
          <w:sz w:val="24"/>
          <w:highlight w:val="none"/>
        </w:rPr>
        <w:t>实验</w:t>
      </w:r>
      <w:r>
        <w:rPr>
          <w:sz w:val="24"/>
          <w:highlight w:val="none"/>
        </w:rPr>
        <w:t>标准差</w:t>
      </w:r>
      <w:r>
        <w:rPr>
          <w:iCs/>
          <w:sz w:val="24"/>
          <w:highlight w:val="none"/>
        </w:rPr>
        <w:t>；</w:t>
      </w:r>
    </w:p>
    <w:p w14:paraId="7AC328C4">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rPr>
        <w:t>第</w:t>
      </w:r>
      <w:r>
        <w:rPr>
          <w:rFonts w:hint="eastAsia"/>
          <w:i/>
          <w:sz w:val="24"/>
          <w:highlight w:val="none"/>
        </w:rPr>
        <w:t>i</w:t>
      </w:r>
      <w:r>
        <w:rPr>
          <w:rFonts w:hint="eastAsia"/>
          <w:iCs/>
          <w:sz w:val="24"/>
          <w:highlight w:val="none"/>
        </w:rPr>
        <w:t>次测量的</w:t>
      </w:r>
      <w:r>
        <w:rPr>
          <w:rFonts w:hint="eastAsia"/>
          <w:iCs/>
          <w:sz w:val="24"/>
          <w:highlight w:val="none"/>
          <w:lang w:val="en-US" w:eastAsia="zh-CN"/>
        </w:rPr>
        <w:t>荧光相对强度</w:t>
      </w:r>
      <w:r>
        <w:rPr>
          <w:iCs/>
          <w:sz w:val="24"/>
          <w:highlight w:val="none"/>
        </w:rPr>
        <w:t>；</w:t>
      </w:r>
    </w:p>
    <w:p w14:paraId="6936164F">
      <w:pPr>
        <w:autoSpaceDE w:val="0"/>
        <w:autoSpaceDN w:val="0"/>
        <w:adjustRightInd w:val="0"/>
        <w:spacing w:line="360" w:lineRule="auto"/>
        <w:ind w:firstLine="480" w:firstLineChars="200"/>
        <w:rPr>
          <w:iCs/>
          <w:sz w:val="24"/>
          <w:highlight w:val="none"/>
        </w:rPr>
      </w:pPr>
      <m:oMath>
        <m:acc>
          <m:accPr>
            <m:chr m:val="̅"/>
            <m:ctrlPr>
              <w:rPr>
                <w:rFonts w:hint="default" w:ascii="Cambria Math" w:hAnsi="Cambria Math"/>
                <w:i/>
                <w:kern w:val="24"/>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acc>
      </m:oMath>
      <w:r>
        <w:rPr>
          <w:iCs/>
          <w:sz w:val="24"/>
          <w:highlight w:val="none"/>
        </w:rPr>
        <w:t>——</w:t>
      </w:r>
      <w:r>
        <w:rPr>
          <w:rFonts w:hint="eastAsia"/>
          <w:iCs/>
          <w:sz w:val="24"/>
          <w:highlight w:val="none"/>
          <w:lang w:val="en-US" w:eastAsia="zh-CN"/>
        </w:rPr>
        <w:t>荧光相对强度</w:t>
      </w:r>
      <w:r>
        <w:rPr>
          <w:rFonts w:hint="eastAsia"/>
          <w:iCs/>
          <w:sz w:val="24"/>
          <w:highlight w:val="none"/>
        </w:rPr>
        <w:t>测量</w:t>
      </w:r>
      <w:r>
        <w:rPr>
          <w:sz w:val="24"/>
          <w:highlight w:val="none"/>
        </w:rPr>
        <w:t>平均值</w:t>
      </w:r>
      <w:r>
        <w:rPr>
          <w:iCs/>
          <w:sz w:val="24"/>
          <w:highlight w:val="none"/>
        </w:rPr>
        <w:t>；</w:t>
      </w:r>
    </w:p>
    <w:p w14:paraId="48F0DA2B">
      <w:pPr>
        <w:autoSpaceDE w:val="0"/>
        <w:autoSpaceDN w:val="0"/>
        <w:adjustRightInd w:val="0"/>
        <w:spacing w:line="360" w:lineRule="auto"/>
        <w:ind w:firstLine="480" w:firstLineChars="200"/>
        <w:rPr>
          <w:sz w:val="24"/>
          <w:highlight w:val="none"/>
        </w:rPr>
      </w:pPr>
      <w:r>
        <w:rPr>
          <w:rFonts w:hint="eastAsia"/>
          <w:i/>
          <w:sz w:val="24"/>
          <w:highlight w:val="none"/>
        </w:rPr>
        <w:t>n</w:t>
      </w:r>
      <w:r>
        <w:rPr>
          <w:iCs/>
          <w:sz w:val="24"/>
          <w:highlight w:val="none"/>
        </w:rPr>
        <w:t>——</w:t>
      </w:r>
      <w:r>
        <w:rPr>
          <w:sz w:val="24"/>
          <w:highlight w:val="none"/>
        </w:rPr>
        <w:t>测量次数</w:t>
      </w:r>
      <w:r>
        <w:rPr>
          <w:rFonts w:hint="eastAsia"/>
          <w:iCs/>
          <w:sz w:val="24"/>
          <w:highlight w:val="none"/>
        </w:rPr>
        <w:t>。</w:t>
      </w:r>
    </w:p>
    <w:p w14:paraId="18358C6A">
      <w:pPr>
        <w:spacing w:line="360" w:lineRule="auto"/>
        <w:ind w:firstLine="480" w:firstLineChars="200"/>
        <w:rPr>
          <w:sz w:val="24"/>
          <w:highlight w:val="none"/>
        </w:rPr>
      </w:pPr>
      <w:r>
        <w:rPr>
          <w:sz w:val="24"/>
          <w:highlight w:val="none"/>
        </w:rPr>
        <w:t>以</w:t>
      </w:r>
      <w:r>
        <w:rPr>
          <w:rFonts w:hint="eastAsia"/>
          <w:sz w:val="24"/>
          <w:highlight w:val="none"/>
        </w:rPr>
        <w:t>波长在</w:t>
      </w:r>
      <w:r>
        <w:rPr>
          <w:rFonts w:hint="eastAsia" w:ascii="宋体" w:hAnsi="宋体" w:cs="宋体"/>
          <w:sz w:val="24"/>
          <w:highlight w:val="none"/>
        </w:rPr>
        <w:t xml:space="preserve">500 </w:t>
      </w:r>
      <w:r>
        <w:rPr>
          <w:sz w:val="24"/>
          <w:highlight w:val="none"/>
        </w:rPr>
        <w:t>nm</w:t>
      </w:r>
      <w:r>
        <w:rPr>
          <w:rFonts w:hint="eastAsia"/>
          <w:sz w:val="24"/>
          <w:highlight w:val="none"/>
        </w:rPr>
        <w:t>处</w:t>
      </w:r>
      <w:r>
        <w:rPr>
          <w:sz w:val="24"/>
          <w:highlight w:val="none"/>
        </w:rPr>
        <w:t>的测量结果为例</w:t>
      </w:r>
      <w:r>
        <w:rPr>
          <w:rFonts w:hint="eastAsia"/>
          <w:sz w:val="24"/>
          <w:highlight w:val="none"/>
        </w:rPr>
        <w:t>，</w:t>
      </w:r>
      <w:r>
        <w:rPr>
          <w:sz w:val="24"/>
          <w:highlight w:val="none"/>
        </w:rPr>
        <w:t>重复测量引入的相对标准不确定度为：</w:t>
      </w:r>
    </w:p>
    <w:p w14:paraId="142BB90D">
      <w:pPr>
        <w:spacing w:line="360" w:lineRule="auto"/>
        <w:jc w:val="center"/>
        <w:rPr>
          <w:sz w:val="24"/>
          <w:highlight w:val="none"/>
        </w:rPr>
      </w:pPr>
      <m:oMath>
        <m:sSub>
          <m:sSubPr>
            <m:ctrlPr>
              <w:rPr>
                <w:rFonts w:hint="default" w:ascii="Cambria Math" w:hAnsi="Cambria Math"/>
                <w:i/>
                <w:iCs/>
                <w:kern w:val="24"/>
                <w:sz w:val="24"/>
                <w:highlight w:val="none"/>
              </w:rPr>
            </m:ctrlPr>
          </m:sSubPr>
          <m:e>
            <m:r>
              <m:rPr/>
              <w:rPr>
                <w:rFonts w:hint="default" w:ascii="Cambria Math" w:hAnsi="Cambria Math"/>
                <w:kern w:val="24"/>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sz w:val="24"/>
            <w:highlight w:val="none"/>
          </w:rPr>
          <m:t>=</m:t>
        </m:r>
        <m:r>
          <m:rPr/>
          <w:rPr>
            <w:rFonts w:hint="default" w:ascii="Cambria Math" w:hAnsi="Cambria Math"/>
            <w:sz w:val="24"/>
            <w:highlight w:val="none"/>
            <w:lang w:val="en-US" w:eastAsia="zh-CN"/>
          </w:rPr>
          <m:t>0.21</m:t>
        </m:r>
      </m:oMath>
      <w:r>
        <w:rPr>
          <w:rFonts w:eastAsia="等线"/>
          <w:sz w:val="24"/>
          <w:highlight w:val="none"/>
        </w:rPr>
        <w:t>%</w:t>
      </w:r>
    </w:p>
    <w:p w14:paraId="73950E83">
      <w:pPr>
        <w:spacing w:line="360" w:lineRule="auto"/>
        <w:rPr>
          <w:sz w:val="24"/>
          <w:highlight w:val="none"/>
        </w:rPr>
      </w:pPr>
      <w:r>
        <w:rPr>
          <w:rFonts w:hint="eastAsia" w:ascii="宋体" w:hAnsi="宋体" w:cs="宋体"/>
          <w:sz w:val="24"/>
          <w:highlight w:val="none"/>
        </w:rPr>
        <w:t>（3）</w:t>
      </w:r>
      <w:r>
        <w:rPr>
          <w:rFonts w:hint="eastAsia"/>
          <w:sz w:val="24"/>
          <w:highlight w:val="none"/>
          <w:lang w:val="en-US" w:eastAsia="zh-CN"/>
        </w:rPr>
        <w:t>荧光相对强度标准物质</w:t>
      </w:r>
      <w:r>
        <w:rPr>
          <w:sz w:val="24"/>
          <w:highlight w:val="none"/>
        </w:rPr>
        <w:t>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s</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004794B8">
      <w:pPr>
        <w:spacing w:line="360" w:lineRule="auto"/>
        <w:ind w:firstLine="480" w:firstLineChars="200"/>
        <w:rPr>
          <w:sz w:val="24"/>
          <w:highlight w:val="none"/>
        </w:rPr>
      </w:pPr>
      <w:r>
        <w:rPr>
          <w:sz w:val="24"/>
          <w:highlight w:val="none"/>
        </w:rPr>
        <w:t>由</w:t>
      </w:r>
      <w:r>
        <w:rPr>
          <w:rFonts w:hint="eastAsia"/>
          <w:sz w:val="24"/>
          <w:highlight w:val="none"/>
          <w:lang w:val="en-US" w:eastAsia="zh-CN"/>
        </w:rPr>
        <w:t>标准物质</w:t>
      </w:r>
      <w:r>
        <w:rPr>
          <w:sz w:val="24"/>
          <w:highlight w:val="none"/>
        </w:rPr>
        <w:t>证书给出的在</w:t>
      </w:r>
      <w:r>
        <w:rPr>
          <w:rFonts w:hint="eastAsia" w:ascii="宋体" w:hAnsi="宋体" w:cs="宋体"/>
          <w:sz w:val="24"/>
          <w:highlight w:val="none"/>
        </w:rPr>
        <w:t xml:space="preserve">500 </w:t>
      </w:r>
      <w:r>
        <w:rPr>
          <w:sz w:val="24"/>
          <w:highlight w:val="none"/>
        </w:rPr>
        <w:t>nm处的扩展不确定度</w:t>
      </w:r>
      <w:r>
        <w:rPr>
          <w:rFonts w:hint="eastAsia"/>
          <w:sz w:val="24"/>
          <w:highlight w:val="none"/>
          <w:lang w:val="en-US" w:eastAsia="zh-CN"/>
        </w:rPr>
        <w:t>计算得到</w:t>
      </w:r>
      <w:r>
        <w:rPr>
          <w:sz w:val="24"/>
          <w:highlight w:val="none"/>
        </w:rPr>
        <w:t>相对标准不确定度为</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s</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ascii="宋体" w:hAnsi="宋体" w:cs="宋体"/>
          <w:sz w:val="24"/>
          <w:highlight w:val="none"/>
        </w:rPr>
        <w:t>1.</w:t>
      </w:r>
      <w:r>
        <w:rPr>
          <w:rFonts w:hint="eastAsia" w:ascii="宋体" w:hAnsi="宋体" w:cs="宋体"/>
          <w:sz w:val="24"/>
          <w:highlight w:val="none"/>
          <w:lang w:val="en-US" w:eastAsia="zh-CN"/>
        </w:rPr>
        <w:t>4</w:t>
      </w:r>
      <w:r>
        <w:rPr>
          <w:rFonts w:hint="eastAsia" w:ascii="宋体" w:hAnsi="宋体" w:cs="宋体"/>
          <w:sz w:val="24"/>
          <w:highlight w:val="none"/>
        </w:rPr>
        <w:t>2</w:t>
      </w:r>
      <w:r>
        <w:rPr>
          <w:sz w:val="24"/>
          <w:highlight w:val="none"/>
        </w:rPr>
        <w:t>%。</w:t>
      </w:r>
    </w:p>
    <w:p w14:paraId="106C91CB">
      <w:pPr>
        <w:spacing w:line="360" w:lineRule="auto"/>
        <w:rPr>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sz w:val="24"/>
          <w:highlight w:val="none"/>
        </w:rPr>
        <w:t>合成相对标准不确定度</w:t>
      </w:r>
    </w:p>
    <w:p w14:paraId="381F836E">
      <w:pPr>
        <w:spacing w:line="360" w:lineRule="auto"/>
        <w:ind w:firstLine="480" w:firstLineChars="200"/>
        <w:rPr>
          <w:sz w:val="24"/>
          <w:highlight w:val="none"/>
        </w:rPr>
      </w:pPr>
      <w:r>
        <w:rPr>
          <w:sz w:val="24"/>
          <w:highlight w:val="none"/>
        </w:rPr>
        <w:t>以上各分量可近似不相关，故在</w:t>
      </w:r>
      <w:r>
        <w:rPr>
          <w:rFonts w:hint="eastAsia" w:ascii="宋体" w:hAnsi="宋体" w:cs="宋体"/>
          <w:sz w:val="24"/>
          <w:highlight w:val="none"/>
        </w:rPr>
        <w:t xml:space="preserve">500 </w:t>
      </w:r>
      <w:r>
        <w:rPr>
          <w:sz w:val="24"/>
          <w:highlight w:val="none"/>
        </w:rPr>
        <w:t>nm处的合成相对标准不确定度</w:t>
      </w:r>
      <w:r>
        <w:rPr>
          <w:i/>
          <w:sz w:val="24"/>
          <w:highlight w:val="none"/>
        </w:rPr>
        <w:t>u</w:t>
      </w:r>
      <w:r>
        <w:rPr>
          <w:sz w:val="24"/>
          <w:highlight w:val="none"/>
          <w:vertAlign w:val="subscript"/>
        </w:rPr>
        <w:t>c rel</w:t>
      </w:r>
      <w:r>
        <w:rPr>
          <w:sz w:val="24"/>
          <w:highlight w:val="none"/>
        </w:rPr>
        <w:t>(</w:t>
      </w:r>
      <w:r>
        <w:rPr>
          <w:rFonts w:hint="eastAsia"/>
          <w:i/>
          <w:iCs/>
          <w:sz w:val="24"/>
          <w:highlight w:val="none"/>
          <w:lang w:val="en-US" w:eastAsia="zh-CN"/>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)可通过下式进行合成计算：</w:t>
      </w:r>
    </w:p>
    <w:p w14:paraId="03643BC1">
      <w:pPr>
        <w:spacing w:line="360" w:lineRule="auto"/>
        <w:ind w:firstLine="480" w:firstLineChars="200"/>
        <w:jc w:val="center"/>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r>
              <m:rPr/>
              <w:rPr>
                <w:rFonts w:hint="default" w:ascii="Cambria Math" w:hAnsi="Cambria Math"/>
                <w:sz w:val="24"/>
                <w:highlight w:val="none"/>
              </w:rPr>
              <m:t xml:space="preserve"> </m:t>
            </m:r>
            <m:r>
              <m:rPr>
                <m:sty m:val="p"/>
              </m:rPr>
              <w:rPr>
                <w:rFonts w:hint="default" w:ascii="Cambria Math" w:hAnsi="Cambria Math"/>
                <w:sz w:val="24"/>
                <w:highlight w:val="none"/>
              </w:rPr>
              <m:t>rel</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sz w:val="24"/>
                <w:highlight w:val="none"/>
              </w:rPr>
            </m:ctrlPr>
          </m:e>
        </m:d>
        <m:r>
          <m:rPr>
            <m:sty m:val="p"/>
          </m:rPr>
          <w:rPr>
            <w:rFonts w:hint="default" w:ascii="Cambria Math" w:hAnsi="Cambria Math"/>
            <w:sz w:val="24"/>
            <w:highlight w:val="none"/>
          </w:rPr>
          <m:t>=</m:t>
        </m:r>
        <m:rad>
          <m:radPr>
            <m:degHide m:val="1"/>
            <m:ctrlPr>
              <w:rPr>
                <w:rFonts w:hint="default" w:ascii="Cambria Math" w:hAnsi="Cambria Math"/>
                <w:i/>
                <w:iCs/>
                <w:kern w:val="24"/>
                <w:sz w:val="24"/>
                <w:highlight w:val="none"/>
              </w:rPr>
            </m:ctrlPr>
          </m:radPr>
          <m:deg>
            <m:ctrlPr>
              <w:rPr>
                <w:rFonts w:hint="default" w:ascii="Cambria Math" w:hAnsi="Cambria Math"/>
                <w:i/>
                <w:iCs/>
                <w:kern w:val="24"/>
                <w:sz w:val="24"/>
                <w:highlight w:val="none"/>
              </w:rPr>
            </m:ctrlPr>
          </m:deg>
          <m:e>
            <m:sSubSup>
              <m:sSubSupPr>
                <m:ctrlPr>
                  <w:rPr>
                    <w:rFonts w:hint="default" w:ascii="Cambria Math" w:hAnsi="Cambria Math"/>
                    <w:i/>
                    <w:iCs/>
                    <w:kern w:val="24"/>
                    <w:sz w:val="24"/>
                    <w:highlight w:val="none"/>
                  </w:rPr>
                </m:ctrlPr>
              </m:sSubSupPr>
              <m:e>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vertAlign w:val="subscript"/>
                      </w:rPr>
                      <m:t>λ</m:t>
                    </m:r>
                    <m:ctrlPr>
                      <w:rPr>
                        <w:rFonts w:hint="default" w:ascii="Cambria Math" w:hAnsi="Cambria Math"/>
                        <w:sz w:val="24"/>
                        <w:highlight w:val="none"/>
                      </w:rPr>
                    </m:ctrlPr>
                  </m:e>
                </m:d>
                <m:r>
                  <m:rPr/>
                  <w:rPr>
                    <w:rFonts w:hint="default" w:ascii="Cambria Math" w:hAnsi="Cambria Math"/>
                    <w:kern w:val="24"/>
                    <w:sz w:val="24"/>
                    <w:highlight w:val="none"/>
                  </w:rPr>
                  <m:t>+</m:t>
                </m:r>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e>
            </m:d>
            <m:r>
              <m:rPr/>
              <w:rPr>
                <w:rFonts w:hint="default" w:ascii="Cambria Math" w:hAnsi="Cambria Math"/>
                <w:kern w:val="24"/>
                <w:sz w:val="24"/>
                <w:highlight w:val="none"/>
              </w:rPr>
              <m:t>+</m:t>
            </m:r>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rel</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cs</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e>
            </m:d>
            <m:ctrlPr>
              <w:rPr>
                <w:rFonts w:hint="default" w:ascii="Cambria Math" w:hAnsi="Cambria Math"/>
                <w:i/>
                <w:iCs/>
                <w:kern w:val="24"/>
                <w:sz w:val="24"/>
                <w:highlight w:val="none"/>
              </w:rPr>
            </m:ctrlPr>
          </m:e>
        </m:rad>
        <m:r>
          <m:rPr>
            <m:sty m:val="p"/>
          </m:rPr>
          <w:rPr>
            <w:rFonts w:hint="default" w:ascii="Cambria Math" w:hAnsi="Cambria Math"/>
            <w:sz w:val="24"/>
            <w:highlight w:val="none"/>
          </w:rPr>
          <m:t>=</m:t>
        </m:r>
      </m:oMath>
      <w:r>
        <w:rPr>
          <w:rFonts w:hint="eastAsia" w:ascii="宋体" w:hAnsi="宋体" w:cs="宋体"/>
          <w:sz w:val="24"/>
          <w:highlight w:val="none"/>
        </w:rPr>
        <w:t>1.</w:t>
      </w:r>
      <w:r>
        <w:rPr>
          <w:rFonts w:hint="eastAsia" w:ascii="宋体" w:hAnsi="宋体" w:cs="宋体"/>
          <w:sz w:val="24"/>
          <w:highlight w:val="none"/>
          <w:lang w:val="en-US" w:eastAsia="zh-CN"/>
        </w:rPr>
        <w:t>43</w:t>
      </w:r>
      <w:r>
        <w:rPr>
          <w:sz w:val="24"/>
          <w:highlight w:val="none"/>
        </w:rPr>
        <w:t>%</w:t>
      </w:r>
    </w:p>
    <w:p w14:paraId="5AA49D2B">
      <w:pPr>
        <w:spacing w:line="360" w:lineRule="auto"/>
        <w:rPr>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w:t>
      </w:r>
      <w:r>
        <w:rPr>
          <w:sz w:val="24"/>
          <w:highlight w:val="none"/>
        </w:rPr>
        <w:t>相对扩展不确定度</w:t>
      </w:r>
    </w:p>
    <w:p w14:paraId="697BABC0">
      <w:pPr>
        <w:spacing w:line="360" w:lineRule="auto"/>
        <w:ind w:firstLine="480" w:firstLineChars="200"/>
        <w:rPr>
          <w:sz w:val="24"/>
          <w:highlight w:val="none"/>
        </w:rPr>
      </w:pPr>
      <w:r>
        <w:rPr>
          <w:sz w:val="24"/>
          <w:highlight w:val="none"/>
        </w:rPr>
        <w:t>相对扩展不确定度</w:t>
      </w: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)等于包含因子</w:t>
      </w:r>
      <w:r>
        <w:rPr>
          <w:i/>
          <w:sz w:val="24"/>
          <w:highlight w:val="none"/>
        </w:rPr>
        <w:t>k</w:t>
      </w:r>
      <w:r>
        <w:rPr>
          <w:sz w:val="24"/>
          <w:highlight w:val="none"/>
        </w:rPr>
        <w:t>与合成相对标准不确定度</w:t>
      </w:r>
      <w:r>
        <w:rPr>
          <w:i/>
          <w:sz w:val="24"/>
          <w:highlight w:val="none"/>
        </w:rPr>
        <w:t>u</w:t>
      </w:r>
      <w:r>
        <w:rPr>
          <w:sz w:val="24"/>
          <w:highlight w:val="none"/>
          <w:vertAlign w:val="subscript"/>
        </w:rPr>
        <w:t>c 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)之积，在此取</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0BDCFD1E">
      <w:pPr>
        <w:spacing w:line="360" w:lineRule="auto"/>
        <w:jc w:val="center"/>
        <w:rPr>
          <w:sz w:val="24"/>
          <w:highlight w:val="none"/>
        </w:rPr>
      </w:pPr>
      <w:r>
        <w:rPr>
          <w:i/>
          <w:iCs/>
          <w:kern w:val="24"/>
          <w:sz w:val="24"/>
          <w:highlight w:val="none"/>
        </w:rPr>
        <w:t>U</w:t>
      </w:r>
      <w:r>
        <w:rPr>
          <w:kern w:val="24"/>
          <w:sz w:val="24"/>
          <w:highlight w:val="none"/>
          <w:vertAlign w:val="subscript"/>
        </w:rPr>
        <w:t>rel</w:t>
      </w:r>
      <m:oMath>
        <m:d>
          <m:dPr>
            <m:ctrlPr>
              <w:rPr>
                <w:rFonts w:hint="default" w:ascii="Cambria Math" w:hAnsi="Cambria Math"/>
                <w:i/>
                <w:kern w:val="24"/>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r>
              <m:rPr/>
              <w:rPr>
                <w:rFonts w:hint="default" w:ascii="Cambria Math" w:hAnsi="Cambria Math"/>
                <w:sz w:val="24"/>
                <w:highlight w:val="none"/>
              </w:rPr>
              <m:t xml:space="preserve"> </m:t>
            </m:r>
            <m:r>
              <m:rPr>
                <m:sty m:val="p"/>
              </m:rPr>
              <w:rPr>
                <w:rFonts w:hint="default" w:ascii="Cambria Math" w:hAnsi="Cambria Math"/>
                <w:sz w:val="24"/>
                <w:highlight w:val="none"/>
              </w:rPr>
              <m:t>rel</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vertAlign w:val="subscript"/>
                  </w:rPr>
                  <m:t>λ</m:t>
                </m:r>
                <m:ctrlPr>
                  <w:rPr>
                    <w:rFonts w:hint="default" w:ascii="Cambria Math" w:hAnsi="Cambria Math"/>
                    <w:i/>
                    <w:sz w:val="24"/>
                    <w:highlight w:val="none"/>
                  </w:rPr>
                </m:ctrlPr>
              </m:e>
            </m:d>
            <m:ctrlPr>
              <w:rPr>
                <w:rFonts w:hint="default" w:ascii="Cambria Math" w:hAnsi="Cambria Math"/>
                <w:sz w:val="24"/>
                <w:highlight w:val="none"/>
              </w:rPr>
            </m:ctrlPr>
          </m:e>
        </m:d>
        <m:r>
          <m:rPr/>
          <w:rPr>
            <w:rFonts w:hint="default" w:ascii="Cambria Math" w:hAnsi="Cambria Math"/>
            <w:kern w:val="24"/>
            <w:sz w:val="24"/>
            <w:highlight w:val="none"/>
          </w:rPr>
          <m:t>=2.</m:t>
        </m:r>
        <m:r>
          <m:rPr/>
          <w:rPr>
            <w:rFonts w:hint="default" w:ascii="Cambria Math" w:hAnsi="Cambria Math"/>
            <w:kern w:val="24"/>
            <w:sz w:val="24"/>
            <w:highlight w:val="none"/>
            <w:lang w:val="en-US" w:eastAsia="zh-CN"/>
          </w:rPr>
          <m:t>9</m:t>
        </m:r>
        <m:r>
          <m:rPr/>
          <w:rPr>
            <w:rFonts w:hint="default" w:ascii="Cambria Math" w:hAnsi="Cambria Math"/>
            <w:kern w:val="24"/>
            <w:sz w:val="24"/>
            <w:highlight w:val="none"/>
          </w:rPr>
          <m:t>%</m:t>
        </m:r>
      </m:oMath>
      <w:r>
        <w:rPr>
          <w:i/>
          <w:kern w:val="24"/>
          <w:sz w:val="24"/>
          <w:highlight w:val="none"/>
        </w:rPr>
        <w:t xml:space="preserve"> </w:t>
      </w:r>
      <w:r>
        <w:rPr>
          <w:sz w:val="24"/>
          <w:highlight w:val="none"/>
        </w:rPr>
        <w:t>(</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7F9C4F0B">
      <w:pPr>
        <w:spacing w:line="360" w:lineRule="auto"/>
        <w:rPr>
          <w:rFonts w:hint="eastAsia" w:ascii="宋体" w:hAnsi="宋体" w:eastAsia="宋体" w:cs="宋体"/>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1</w:t>
      </w:r>
      <w:r>
        <w:rPr>
          <w:rFonts w:hint="eastAsia" w:ascii="宋体" w:hAnsi="宋体" w:eastAsia="宋体" w:cs="宋体"/>
          <w:sz w:val="24"/>
          <w:highlight w:val="none"/>
        </w:rPr>
        <w:t>.4 报告结果</w:t>
      </w:r>
    </w:p>
    <w:p w14:paraId="1D2C2518">
      <w:pPr>
        <w:spacing w:line="360" w:lineRule="auto"/>
        <w:ind w:firstLine="480" w:firstLineChars="200"/>
        <w:rPr>
          <w:sz w:val="24"/>
          <w:highlight w:val="none"/>
        </w:rPr>
      </w:pPr>
      <w:r>
        <w:rPr>
          <w:sz w:val="24"/>
          <w:highlight w:val="none"/>
        </w:rPr>
        <w:t>通过以上分析和计算，可得荧光相对强度校准曲线</w:t>
      </w:r>
      <w:r>
        <w:rPr>
          <w:rFonts w:hint="eastAsia"/>
          <w:sz w:val="24"/>
          <w:highlight w:val="none"/>
        </w:rPr>
        <w:t>在</w:t>
      </w:r>
      <w:r>
        <w:rPr>
          <w:rFonts w:hint="eastAsia" w:ascii="宋体" w:hAnsi="宋体" w:cs="宋体"/>
          <w:sz w:val="24"/>
          <w:highlight w:val="none"/>
        </w:rPr>
        <w:t xml:space="preserve">500 </w:t>
      </w:r>
      <w:r>
        <w:rPr>
          <w:sz w:val="24"/>
          <w:highlight w:val="none"/>
        </w:rPr>
        <w:t>nm处的相对扩展不确定度为：</w:t>
      </w: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w:t>
      </w:r>
      <w:r>
        <w:rPr>
          <w:rFonts w:hint="eastAsia" w:ascii="宋体" w:hAnsi="宋体" w:cs="宋体"/>
          <w:sz w:val="24"/>
          <w:highlight w:val="none"/>
          <w:lang w:val="en-US" w:eastAsia="zh-CN"/>
        </w:rPr>
        <w:t>2.9</w:t>
      </w:r>
      <w:r>
        <w:rPr>
          <w:rFonts w:hint="eastAsia"/>
          <w:sz w:val="24"/>
          <w:highlight w:val="none"/>
          <w:lang w:val="en-US" w:eastAsia="zh-CN"/>
        </w:rPr>
        <w:t>% (</w:t>
      </w:r>
      <w:r>
        <w:rPr>
          <w:rFonts w:hint="eastAsia"/>
          <w:i/>
          <w:iCs/>
          <w:sz w:val="24"/>
          <w:highlight w:val="none"/>
          <w:lang w:val="en-US" w:eastAsia="zh-CN"/>
        </w:rPr>
        <w:t>k</w:t>
      </w:r>
      <w:r>
        <w:rPr>
          <w:rFonts w:hint="eastAsia"/>
          <w:sz w:val="24"/>
          <w:highlight w:val="none"/>
          <w:lang w:val="en-US" w:eastAsia="zh-CN"/>
        </w:rPr>
        <w:t>=</w:t>
      </w:r>
      <w:r>
        <w:rPr>
          <w:rFonts w:hint="eastAsia" w:ascii="宋体" w:hAnsi="宋体" w:cs="宋体"/>
          <w:sz w:val="24"/>
          <w:highlight w:val="none"/>
          <w:lang w:val="en-US" w:eastAsia="zh-CN"/>
        </w:rPr>
        <w:t>2</w:t>
      </w:r>
      <w:r>
        <w:rPr>
          <w:rFonts w:hint="eastAsia"/>
          <w:sz w:val="24"/>
          <w:highlight w:val="none"/>
          <w:lang w:val="en-US" w:eastAsia="zh-CN"/>
        </w:rPr>
        <w:t>)</w:t>
      </w:r>
      <w:r>
        <w:rPr>
          <w:sz w:val="24"/>
          <w:highlight w:val="none"/>
        </w:rPr>
        <w:t>。</w:t>
      </w:r>
    </w:p>
    <w:p w14:paraId="0D3300F4">
      <w:pPr>
        <w:spacing w:line="360" w:lineRule="auto"/>
        <w:ind w:firstLine="480" w:firstLineChars="200"/>
        <w:rPr>
          <w:sz w:val="24"/>
          <w:highlight w:val="none"/>
        </w:rPr>
      </w:pPr>
      <w:r>
        <w:rPr>
          <w:rFonts w:hint="eastAsia"/>
          <w:sz w:val="24"/>
          <w:highlight w:val="none"/>
        </w:rPr>
        <w:t>其他波长处的</w:t>
      </w:r>
      <w:r>
        <w:rPr>
          <w:sz w:val="24"/>
          <w:highlight w:val="none"/>
        </w:rPr>
        <w:t>相对扩展</w:t>
      </w:r>
      <w:r>
        <w:rPr>
          <w:rFonts w:hint="eastAsia"/>
          <w:sz w:val="24"/>
          <w:highlight w:val="none"/>
        </w:rPr>
        <w:t>不确定度同样按上述方法进行评定。</w:t>
      </w:r>
    </w:p>
    <w:p w14:paraId="2024D951">
      <w:pPr>
        <w:tabs>
          <w:tab w:val="left" w:pos="5812"/>
        </w:tabs>
        <w:spacing w:line="360" w:lineRule="auto"/>
        <w:rPr>
          <w:rFonts w:hint="eastAsia" w:ascii="宋体" w:hAnsi="宋体" w:eastAsia="宋体" w:cs="宋体"/>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2</w:t>
      </w:r>
      <w:r>
        <w:rPr>
          <w:rFonts w:hint="eastAsia" w:ascii="宋体" w:hAnsi="宋体" w:eastAsia="宋体" w:cs="宋体"/>
          <w:sz w:val="24"/>
          <w:highlight w:val="none"/>
        </w:rPr>
        <w:t xml:space="preserve"> </w:t>
      </w:r>
      <w:r>
        <w:rPr>
          <w:rFonts w:hint="eastAsia"/>
          <w:sz w:val="24"/>
          <w:highlight w:val="none"/>
        </w:rPr>
        <w:t>荧光</w:t>
      </w:r>
      <w:r>
        <w:rPr>
          <w:rFonts w:hint="eastAsia" w:cs="Times New Roman"/>
          <w:kern w:val="2"/>
          <w:sz w:val="24"/>
          <w:szCs w:val="24"/>
          <w:highlight w:val="none"/>
          <w:lang w:val="en-US" w:eastAsia="zh-CN"/>
        </w:rPr>
        <w:t>相对强度</w:t>
      </w:r>
      <w:r>
        <w:rPr>
          <w:rFonts w:hint="eastAsia" w:ascii="宋体" w:hAnsi="宋体" w:eastAsia="宋体" w:cs="宋体"/>
          <w:sz w:val="24"/>
          <w:highlight w:val="none"/>
        </w:rPr>
        <w:t>测量不确定度评定</w:t>
      </w:r>
    </w:p>
    <w:p w14:paraId="5C0506E2">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2</w:t>
      </w:r>
      <w:r>
        <w:rPr>
          <w:rFonts w:hint="eastAsia" w:ascii="宋体" w:hAnsi="宋体" w:eastAsia="宋体" w:cs="宋体"/>
          <w:sz w:val="24"/>
          <w:highlight w:val="none"/>
        </w:rPr>
        <w:t>.1</w:t>
      </w:r>
      <w:r>
        <w:rPr>
          <w:rFonts w:hint="eastAsia" w:ascii="宋体" w:hAnsi="宋体" w:eastAsia="宋体" w:cs="宋体"/>
          <w:bCs/>
          <w:sz w:val="24"/>
          <w:highlight w:val="none"/>
        </w:rPr>
        <w:t xml:space="preserve"> 测量模型</w:t>
      </w:r>
    </w:p>
    <w:p w14:paraId="34BF48E6">
      <w:pPr>
        <w:spacing w:line="360" w:lineRule="auto"/>
        <w:ind w:firstLine="480"/>
        <w:outlineLvl w:val="1"/>
        <w:rPr>
          <w:rFonts w:hint="eastAsia" w:cs="Times New Roman"/>
          <w:kern w:val="2"/>
          <w:sz w:val="24"/>
          <w:szCs w:val="24"/>
          <w:highlight w:val="none"/>
          <w:lang w:val="en-US" w:eastAsia="zh-CN"/>
        </w:rPr>
      </w:pPr>
      <w:bookmarkStart w:id="73" w:name="_Toc4324"/>
      <w:r>
        <w:rPr>
          <w:rFonts w:hint="eastAsia" w:cs="Times New Roman"/>
          <w:kern w:val="2"/>
          <w:sz w:val="24"/>
          <w:szCs w:val="24"/>
          <w:highlight w:val="none"/>
          <w:lang w:val="en-US" w:eastAsia="zh-CN"/>
        </w:rPr>
        <w:t>将测得的其他荧光材料的发射光谱乘以对应波段的荧光相对强度校准曲线，可以得到校准后的荧光发射光谱，</w:t>
      </w:r>
      <w:r>
        <w:rPr>
          <w:rStyle w:val="21"/>
          <w:rFonts w:hint="eastAsia"/>
          <w:sz w:val="24"/>
          <w:szCs w:val="24"/>
          <w:highlight w:val="none"/>
        </w:rPr>
        <w:t>测量模型</w:t>
      </w:r>
      <w:r>
        <w:rPr>
          <w:rStyle w:val="21"/>
          <w:rFonts w:hint="eastAsia"/>
          <w:sz w:val="24"/>
          <w:szCs w:val="24"/>
          <w:highlight w:val="none"/>
          <w:lang w:val="en-US" w:eastAsia="zh-CN"/>
        </w:rPr>
        <w:t>为</w:t>
      </w:r>
      <w:r>
        <w:rPr>
          <w:rFonts w:hint="eastAsia" w:cs="Times New Roman"/>
          <w:kern w:val="2"/>
          <w:sz w:val="24"/>
          <w:szCs w:val="24"/>
          <w:highlight w:val="none"/>
          <w:lang w:val="en-US" w:eastAsia="zh-CN"/>
        </w:rPr>
        <w:t>：</w:t>
      </w:r>
      <w:bookmarkEnd w:id="73"/>
    </w:p>
    <w:p w14:paraId="34049C12">
      <w:pPr>
        <w:autoSpaceDE w:val="0"/>
        <w:autoSpaceDN w:val="0"/>
        <w:adjustRightInd w:val="0"/>
        <w:spacing w:line="360" w:lineRule="auto"/>
        <w:jc w:val="right"/>
        <w:rPr>
          <w:rFonts w:hint="eastAsia"/>
          <w:sz w:val="24"/>
          <w:highlight w:val="none"/>
          <w:vertAlign w:val="subscript"/>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s</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sz w:val="24"/>
                    <w:highlight w:val="none"/>
                  </w:rPr>
                </m:ctrlPr>
              </m:e>
            </m:d>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r>
                  <m:rPr>
                    <m:sty m:val="p"/>
                  </m:rPr>
                  <w:rPr>
                    <w:rFonts w:hint="eastAsia" w:ascii="Cambria Math" w:hAnsi="Cambria Math"/>
                    <w:sz w:val="24"/>
                    <w:highlight w:val="none"/>
                    <w:lang w:val="en-US" w:eastAsia="zh-CN"/>
                  </w:rPr>
                  <m:t>ax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iCs/>
          <w:sz w:val="24"/>
          <w:highlight w:val="none"/>
        </w:rPr>
        <w:t>A.</w:t>
      </w:r>
      <w:r>
        <w:rPr>
          <w:rFonts w:hint="eastAsia" w:ascii="宋体" w:hAnsi="宋体" w:cs="宋体"/>
          <w:iCs/>
          <w:sz w:val="24"/>
          <w:highlight w:val="none"/>
        </w:rPr>
        <w:t>4</w:t>
      </w:r>
      <w:r>
        <w:rPr>
          <w:rFonts w:hint="eastAsia" w:ascii="宋体" w:hAnsi="宋体" w:cs="宋体"/>
          <w:sz w:val="24"/>
          <w:highlight w:val="none"/>
        </w:rPr>
        <w:t>）</w:t>
      </w:r>
      <w:r>
        <w:rPr>
          <w:rFonts w:hint="eastAsia"/>
          <w:sz w:val="24"/>
          <w:highlight w:val="none"/>
          <w:vertAlign w:val="subscript"/>
        </w:rPr>
        <w:t xml:space="preserve">  </w:t>
      </w:r>
    </w:p>
    <w:p w14:paraId="7A9F513A">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623990FD">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60CAD4E5">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lang w:val="en-US" w:eastAsia="zh-CN"/>
              </w:rPr>
              <m:t>x</m:t>
            </m:r>
            <m:r>
              <m:rPr>
                <m:sty m:val="p"/>
              </m:rPr>
              <w:rPr>
                <w:rFonts w:hint="default" w:ascii="Cambria Math" w:hAnsi="Cambria Math"/>
                <w:sz w:val="24"/>
                <w:highlight w:val="none"/>
                <w:vertAlign w:val="subscript"/>
                <w:lang w:val="en-US" w:eastAsia="zh-CN"/>
              </w:rPr>
              <m:t>s</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sz w:val="24"/>
          <w:highlight w:val="none"/>
          <w:lang w:val="en-US" w:eastAsia="zh-CN"/>
        </w:rPr>
        <w:t>被测样品的</w:t>
      </w:r>
      <w:r>
        <w:rPr>
          <w:rFonts w:hint="eastAsia"/>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6E46D59">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sz w:val="24"/>
          <w:highlight w:val="none"/>
          <w:lang w:val="en-US" w:eastAsia="zh-CN"/>
        </w:rPr>
        <w:t>空白样品的</w:t>
      </w:r>
      <w:r>
        <w:rPr>
          <w:rFonts w:hint="eastAsia"/>
          <w:sz w:val="24"/>
          <w:highlight w:val="none"/>
        </w:rPr>
        <w:t>光谱</w:t>
      </w:r>
      <w:r>
        <w:rPr>
          <w:rFonts w:hint="eastAsia"/>
          <w:sz w:val="24"/>
          <w:highlight w:val="none"/>
          <w:lang w:val="en-US" w:eastAsia="zh-CN"/>
        </w:rPr>
        <w:t>，</w:t>
      </w:r>
      <w:r>
        <w:rPr>
          <w:rFonts w:hint="eastAsia"/>
          <w:sz w:val="24"/>
          <w:highlight w:val="none"/>
        </w:rPr>
        <w:t>纵坐标单位为</w:t>
      </w:r>
      <w:r>
        <w:rPr>
          <w:sz w:val="24"/>
          <w:highlight w:val="none"/>
        </w:rPr>
        <w:t>1/s</w:t>
      </w:r>
      <w:r>
        <w:rPr>
          <w:iCs/>
          <w:sz w:val="24"/>
          <w:highlight w:val="none"/>
        </w:rPr>
        <w:t>；</w:t>
      </w:r>
    </w:p>
    <w:p w14:paraId="659DD3C3">
      <w:pPr>
        <w:autoSpaceDE w:val="0"/>
        <w:autoSpaceDN w:val="0"/>
        <w:adjustRightInd w:val="0"/>
        <w:spacing w:line="360" w:lineRule="auto"/>
        <w:ind w:firstLine="480" w:firstLineChars="200"/>
        <w:rPr>
          <w:iCs/>
          <w:sz w:val="24"/>
          <w:highlight w:val="none"/>
        </w:rPr>
      </w:pP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iCs/>
          <w:sz w:val="24"/>
          <w:highlight w:val="none"/>
        </w:rPr>
        <w:t>荧光相对强度校准曲线</w:t>
      </w:r>
      <w:r>
        <w:rPr>
          <w:iCs/>
          <w:sz w:val="24"/>
          <w:highlight w:val="none"/>
        </w:rPr>
        <w:t>；</w:t>
      </w:r>
    </w:p>
    <w:p w14:paraId="4ACFDA75">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sz w:val="24"/>
          <w:highlight w:val="none"/>
          <w:vertAlign w:val="subscript"/>
          <w:lang w:val="en-US" w:eastAsia="zh-CN"/>
        </w:rPr>
        <w:t>ax</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最大荧光强度</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120FA1E3">
      <w:pPr>
        <w:autoSpaceDE w:val="0"/>
        <w:autoSpaceDN w:val="0"/>
        <w:adjustRightInd w:val="0"/>
        <w:spacing w:line="360" w:lineRule="auto"/>
        <w:ind w:firstLine="480" w:firstLineChars="200"/>
        <w:jc w:val="left"/>
        <w:rPr>
          <w:rFonts w:hint="eastAsia" w:cs="Times New Roman"/>
          <w:kern w:val="2"/>
          <w:sz w:val="24"/>
          <w:szCs w:val="24"/>
          <w:highlight w:val="none"/>
          <w:lang w:val="en-US" w:eastAsia="zh-CN"/>
        </w:rPr>
      </w:pPr>
      <w:r>
        <w:rPr>
          <w:i/>
          <w:iCs/>
          <w:sz w:val="24"/>
          <w:highlight w:val="none"/>
        </w:rPr>
        <w:t>λ</w:t>
      </w:r>
      <w:r>
        <w:rPr>
          <w:iCs/>
          <w:sz w:val="24"/>
          <w:highlight w:val="none"/>
        </w:rPr>
        <w:t>——</w:t>
      </w:r>
      <w:r>
        <w:rPr>
          <w:sz w:val="24"/>
          <w:highlight w:val="none"/>
        </w:rPr>
        <w:t>波长，nm</w:t>
      </w:r>
      <w:r>
        <w:rPr>
          <w:rFonts w:hint="eastAsia"/>
          <w:sz w:val="24"/>
          <w:highlight w:val="none"/>
        </w:rPr>
        <w:t>。</w:t>
      </w:r>
    </w:p>
    <w:p w14:paraId="53A43B6C">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2</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06A69881">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w:t>
      </w:r>
      <w:r>
        <w:rPr>
          <w:rFonts w:hint="eastAsia"/>
          <w:sz w:val="24"/>
          <w:highlight w:val="none"/>
          <w:lang w:val="en-US" w:eastAsia="zh-CN"/>
        </w:rPr>
        <w:t>以罗丹明6G（R6G）溶液的测量为例，</w:t>
      </w:r>
      <w:r>
        <w:rPr>
          <w:sz w:val="24"/>
          <w:highlight w:val="none"/>
        </w:rPr>
        <w:t>测量不确定度主要包括以下几个方面：</w:t>
      </w:r>
    </w:p>
    <w:p w14:paraId="136792FA">
      <w:pPr>
        <w:spacing w:line="360" w:lineRule="auto"/>
        <w:rPr>
          <w:sz w:val="24"/>
          <w:highlight w:val="none"/>
        </w:rPr>
      </w:pPr>
      <w:r>
        <w:rPr>
          <w:rFonts w:hint="eastAsia" w:ascii="宋体" w:hAnsi="宋体" w:cs="宋体"/>
          <w:sz w:val="24"/>
          <w:highlight w:val="none"/>
        </w:rPr>
        <w:t>（1）</w:t>
      </w:r>
      <w:r>
        <w:rPr>
          <w:sz w:val="24"/>
          <w:highlight w:val="none"/>
        </w:rPr>
        <w:t>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x</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762AD948">
      <w:pPr>
        <w:spacing w:line="360" w:lineRule="auto"/>
        <w:ind w:firstLine="480" w:firstLineChars="200"/>
        <w:rPr>
          <w:sz w:val="24"/>
          <w:highlight w:val="none"/>
        </w:rPr>
      </w:pPr>
      <w:r>
        <w:rPr>
          <w:sz w:val="24"/>
          <w:highlight w:val="none"/>
        </w:rPr>
        <w:t>由</w:t>
      </w:r>
      <w:r>
        <w:rPr>
          <w:rFonts w:hint="eastAsia"/>
          <w:sz w:val="24"/>
          <w:highlight w:val="none"/>
          <w:lang w:val="en-US" w:eastAsia="zh-CN"/>
        </w:rPr>
        <w:t>被测样品荧光发射强度</w:t>
      </w:r>
      <w:r>
        <w:rPr>
          <w:sz w:val="24"/>
          <w:highlight w:val="none"/>
        </w:rPr>
        <w:t>的波动、PMT探测噪声等因素引入的不确定度，通过多次重复测量计算的</w:t>
      </w:r>
      <w:r>
        <w:rPr>
          <w:rFonts w:hint="eastAsia"/>
          <w:sz w:val="24"/>
          <w:highlight w:val="none"/>
          <w:lang w:val="en-US" w:eastAsia="zh-CN"/>
        </w:rPr>
        <w:t>实验</w:t>
      </w:r>
      <w:r>
        <w:rPr>
          <w:sz w:val="24"/>
          <w:highlight w:val="none"/>
        </w:rPr>
        <w:t>标准差除以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为重复测量次数）作为该不确定度分量。</w:t>
      </w:r>
    </w:p>
    <w:p w14:paraId="32F0294B">
      <w:pPr>
        <w:spacing w:line="360" w:lineRule="auto"/>
        <w:rPr>
          <w:sz w:val="24"/>
          <w:highlight w:val="none"/>
          <w:vertAlign w:val="subscript"/>
        </w:rPr>
      </w:pP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w:t>
      </w:r>
      <w:r>
        <w:rPr>
          <w:sz w:val="24"/>
          <w:highlight w:val="none"/>
        </w:rPr>
        <w:t>荧光相对强度校准引入的相对标准不确定度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60B60FEA">
      <w:pPr>
        <w:numPr>
          <w:ilvl w:val="255"/>
          <w:numId w:val="0"/>
        </w:numPr>
        <w:spacing w:line="360" w:lineRule="auto"/>
        <w:ind w:firstLine="480" w:firstLineChars="200"/>
        <w:rPr>
          <w:sz w:val="24"/>
          <w:highlight w:val="none"/>
        </w:rPr>
      </w:pPr>
      <w:r>
        <w:rPr>
          <w:sz w:val="24"/>
          <w:highlight w:val="none"/>
        </w:rPr>
        <w:t>荧光相对强度校准引入的相对标准不确定度</w:t>
      </w:r>
      <w:r>
        <w:rPr>
          <w:rFonts w:hint="eastAsia"/>
          <w:sz w:val="24"/>
          <w:highlight w:val="none"/>
          <w:lang w:val="en-US" w:eastAsia="zh-CN"/>
        </w:rPr>
        <w:t>在A.1中进行了评定</w:t>
      </w:r>
      <w:r>
        <w:rPr>
          <w:rFonts w:hint="eastAsia"/>
          <w:sz w:val="24"/>
          <w:highlight w:val="none"/>
        </w:rPr>
        <w:t>。</w:t>
      </w:r>
    </w:p>
    <w:p w14:paraId="73E69B2B">
      <w:pPr>
        <w:spacing w:line="360" w:lineRule="auto"/>
        <w:rPr>
          <w:sz w:val="24"/>
          <w:highlight w:val="none"/>
        </w:rPr>
      </w:pPr>
      <w:r>
        <w:rPr>
          <w:sz w:val="24"/>
          <w:highlight w:val="none"/>
        </w:rPr>
        <w:t>（</w:t>
      </w:r>
      <w:r>
        <w:rPr>
          <w:rFonts w:hint="eastAsia"/>
          <w:sz w:val="24"/>
          <w:highlight w:val="none"/>
          <w:lang w:val="en-US" w:eastAsia="zh-CN"/>
        </w:rPr>
        <w:t>3</w:t>
      </w:r>
      <w:r>
        <w:rPr>
          <w:sz w:val="24"/>
          <w:highlight w:val="none"/>
        </w:rPr>
        <w:t>）环境温度的影响</w:t>
      </w:r>
    </w:p>
    <w:p w14:paraId="17D57FDB">
      <w:pPr>
        <w:spacing w:line="360" w:lineRule="auto"/>
        <w:ind w:firstLine="480" w:firstLineChars="200"/>
        <w:rPr>
          <w:sz w:val="24"/>
          <w:highlight w:val="none"/>
        </w:rPr>
      </w:pPr>
      <w:r>
        <w:rPr>
          <w:sz w:val="24"/>
          <w:highlight w:val="none"/>
        </w:rPr>
        <w:t>本规范规定的校准环境的温度条件为</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r>
        <w:rPr>
          <w:sz w:val="24"/>
          <w:highlight w:val="none"/>
        </w:rPr>
        <w:t>，在此范围内</w:t>
      </w:r>
      <w:r>
        <w:rPr>
          <w:rFonts w:hint="eastAsia"/>
          <w:sz w:val="24"/>
          <w:highlight w:val="none"/>
        </w:rPr>
        <w:t>，</w:t>
      </w:r>
      <w:r>
        <w:rPr>
          <w:sz w:val="24"/>
          <w:highlight w:val="none"/>
        </w:rPr>
        <w:t>温度的波动对测量结果影响较小，因此可不予考虑。</w:t>
      </w:r>
    </w:p>
    <w:p w14:paraId="2EE6B237">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2</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02E131F0">
      <w:pPr>
        <w:spacing w:line="360" w:lineRule="auto"/>
        <w:rPr>
          <w:sz w:val="24"/>
          <w:highlight w:val="none"/>
        </w:rPr>
      </w:pPr>
      <w:r>
        <w:rPr>
          <w:sz w:val="24"/>
          <w:highlight w:val="none"/>
        </w:rPr>
        <w:t>（1）测量重复性引入的相对标准不确定度</w:t>
      </w: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x</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1637668F">
      <w:pPr>
        <w:spacing w:line="360" w:lineRule="auto"/>
        <w:ind w:firstLine="480" w:firstLineChars="200"/>
        <w:rPr>
          <w:sz w:val="24"/>
          <w:highlight w:val="none"/>
        </w:rPr>
      </w:pPr>
      <w:r>
        <w:rPr>
          <w:i/>
          <w:sz w:val="24"/>
          <w:highlight w:val="none"/>
        </w:rPr>
        <w:t>u</w:t>
      </w:r>
      <w:r>
        <w:rPr>
          <w:sz w:val="24"/>
          <w:highlight w:val="none"/>
          <w:vertAlign w:val="subscript"/>
        </w:rPr>
        <w:t>rel</w:t>
      </w:r>
      <w:r>
        <w:rPr>
          <w:sz w:val="24"/>
          <w:highlight w:val="none"/>
        </w:rPr>
        <w:t>(</w:t>
      </w:r>
      <w:r>
        <w:rPr>
          <w:rFonts w:hint="eastAsia"/>
          <w:i/>
          <w:iCs/>
          <w:sz w:val="24"/>
          <w:highlight w:val="none"/>
          <w:lang w:val="en-US" w:eastAsia="zh-CN"/>
        </w:rPr>
        <w:t>I</w:t>
      </w:r>
      <w:r>
        <w:rPr>
          <w:rFonts w:hint="eastAsia"/>
          <w:i w:val="0"/>
          <w:iCs w:val="0"/>
          <w:sz w:val="24"/>
          <w:highlight w:val="none"/>
          <w:vertAlign w:val="subscript"/>
          <w:lang w:val="en-US" w:eastAsia="zh-CN"/>
        </w:rPr>
        <w:t>x</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)是测量重复性引入的标准不确定度，</w:t>
      </w:r>
      <w:r>
        <w:rPr>
          <w:rFonts w:hint="eastAsia"/>
          <w:sz w:val="24"/>
          <w:highlight w:val="none"/>
          <w:lang w:val="en-US" w:eastAsia="zh-CN"/>
        </w:rPr>
        <w:t>以波长555 nm处相对强度为例，</w:t>
      </w:r>
      <w:r>
        <w:rPr>
          <w:sz w:val="24"/>
          <w:highlight w:val="none"/>
        </w:rPr>
        <w:t>重复测量结果如下：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741"/>
        <w:gridCol w:w="741"/>
        <w:gridCol w:w="741"/>
        <w:gridCol w:w="741"/>
        <w:gridCol w:w="846"/>
        <w:gridCol w:w="1266"/>
      </w:tblGrid>
      <w:tr w14:paraId="00FD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gridSpan w:val="5"/>
            <w:vAlign w:val="center"/>
          </w:tcPr>
          <w:p w14:paraId="5DEE3B7F">
            <w:pPr>
              <w:adjustRightInd w:val="0"/>
              <w:snapToGrid w:val="0"/>
              <w:jc w:val="center"/>
              <w:rPr>
                <w:sz w:val="21"/>
                <w:szCs w:val="21"/>
                <w:highlight w:val="none"/>
              </w:rPr>
            </w:pPr>
            <w:r>
              <w:rPr>
                <w:sz w:val="21"/>
                <w:szCs w:val="21"/>
                <w:highlight w:val="none"/>
              </w:rPr>
              <w:t>测量值</w:t>
            </w:r>
          </w:p>
        </w:tc>
        <w:tc>
          <w:tcPr>
            <w:tcW w:w="846" w:type="dxa"/>
            <w:vMerge w:val="restart"/>
            <w:vAlign w:val="center"/>
          </w:tcPr>
          <w:p w14:paraId="205353D3">
            <w:pPr>
              <w:adjustRightInd w:val="0"/>
              <w:snapToGrid w:val="0"/>
              <w:jc w:val="center"/>
              <w:rPr>
                <w:sz w:val="21"/>
                <w:szCs w:val="21"/>
                <w:highlight w:val="none"/>
              </w:rPr>
            </w:pPr>
            <w:r>
              <w:rPr>
                <w:sz w:val="21"/>
                <w:szCs w:val="21"/>
                <w:highlight w:val="none"/>
              </w:rPr>
              <w:t>平均值</w:t>
            </w:r>
          </w:p>
        </w:tc>
        <w:tc>
          <w:tcPr>
            <w:tcW w:w="1266" w:type="dxa"/>
            <w:vMerge w:val="restart"/>
            <w:vAlign w:val="center"/>
          </w:tcPr>
          <w:p w14:paraId="4385C2C7">
            <w:pPr>
              <w:adjustRightInd w:val="0"/>
              <w:snapToGrid w:val="0"/>
              <w:jc w:val="center"/>
              <w:rPr>
                <w:sz w:val="21"/>
                <w:szCs w:val="21"/>
                <w:highlight w:val="none"/>
              </w:rPr>
            </w:pPr>
            <w:r>
              <w:rPr>
                <w:rFonts w:hint="eastAsia"/>
                <w:sz w:val="21"/>
                <w:szCs w:val="21"/>
                <w:highlight w:val="none"/>
              </w:rPr>
              <w:t>实验标准差</w:t>
            </w:r>
          </w:p>
        </w:tc>
      </w:tr>
      <w:tr w14:paraId="3487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vAlign w:val="center"/>
          </w:tcPr>
          <w:p w14:paraId="77F3A31B">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1</w:t>
            </w:r>
          </w:p>
        </w:tc>
        <w:tc>
          <w:tcPr>
            <w:tcW w:w="0" w:type="auto"/>
            <w:vAlign w:val="center"/>
          </w:tcPr>
          <w:p w14:paraId="0B18F2B4">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2</w:t>
            </w:r>
          </w:p>
        </w:tc>
        <w:tc>
          <w:tcPr>
            <w:tcW w:w="0" w:type="auto"/>
            <w:vAlign w:val="center"/>
          </w:tcPr>
          <w:p w14:paraId="3F5CC4E4">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3</w:t>
            </w:r>
          </w:p>
        </w:tc>
        <w:tc>
          <w:tcPr>
            <w:tcW w:w="0" w:type="auto"/>
            <w:vAlign w:val="center"/>
          </w:tcPr>
          <w:p w14:paraId="215FB928">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4</w:t>
            </w:r>
          </w:p>
        </w:tc>
        <w:tc>
          <w:tcPr>
            <w:tcW w:w="0" w:type="auto"/>
            <w:vAlign w:val="center"/>
          </w:tcPr>
          <w:p w14:paraId="45CEF94A">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5</w:t>
            </w:r>
          </w:p>
        </w:tc>
        <w:tc>
          <w:tcPr>
            <w:tcW w:w="846" w:type="dxa"/>
            <w:vMerge w:val="continue"/>
            <w:vAlign w:val="center"/>
          </w:tcPr>
          <w:p w14:paraId="33A3DEB4">
            <w:pPr>
              <w:adjustRightInd w:val="0"/>
              <w:snapToGrid w:val="0"/>
              <w:jc w:val="center"/>
              <w:rPr>
                <w:rFonts w:hint="eastAsia" w:ascii="宋体" w:hAnsi="宋体" w:cs="宋体"/>
                <w:sz w:val="21"/>
                <w:szCs w:val="21"/>
                <w:highlight w:val="none"/>
              </w:rPr>
            </w:pPr>
          </w:p>
        </w:tc>
        <w:tc>
          <w:tcPr>
            <w:tcW w:w="1266" w:type="dxa"/>
            <w:vMerge w:val="continue"/>
            <w:vAlign w:val="center"/>
          </w:tcPr>
          <w:p w14:paraId="41F158F4">
            <w:pPr>
              <w:adjustRightInd w:val="0"/>
              <w:snapToGrid w:val="0"/>
              <w:jc w:val="center"/>
              <w:rPr>
                <w:rFonts w:hint="eastAsia" w:ascii="宋体" w:hAnsi="宋体" w:cs="宋体"/>
                <w:sz w:val="21"/>
                <w:szCs w:val="21"/>
                <w:highlight w:val="none"/>
              </w:rPr>
            </w:pPr>
          </w:p>
        </w:tc>
      </w:tr>
      <w:tr w14:paraId="3D39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41" w:type="dxa"/>
            <w:vAlign w:val="center"/>
          </w:tcPr>
          <w:p w14:paraId="6D412E94">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0.983 </w:t>
            </w:r>
          </w:p>
        </w:tc>
        <w:tc>
          <w:tcPr>
            <w:tcW w:w="741" w:type="dxa"/>
            <w:vAlign w:val="center"/>
          </w:tcPr>
          <w:p w14:paraId="0F60C845">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1.000 </w:t>
            </w:r>
          </w:p>
        </w:tc>
        <w:tc>
          <w:tcPr>
            <w:tcW w:w="741" w:type="dxa"/>
            <w:vAlign w:val="center"/>
          </w:tcPr>
          <w:p w14:paraId="57452ADF">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0.999 </w:t>
            </w:r>
          </w:p>
        </w:tc>
        <w:tc>
          <w:tcPr>
            <w:tcW w:w="741" w:type="dxa"/>
            <w:vAlign w:val="center"/>
          </w:tcPr>
          <w:p w14:paraId="34D2D50B">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1.000 </w:t>
            </w:r>
          </w:p>
        </w:tc>
        <w:tc>
          <w:tcPr>
            <w:tcW w:w="741" w:type="dxa"/>
            <w:vAlign w:val="center"/>
          </w:tcPr>
          <w:p w14:paraId="07C154FC">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1.000 </w:t>
            </w:r>
          </w:p>
        </w:tc>
        <w:tc>
          <w:tcPr>
            <w:tcW w:w="846" w:type="dxa"/>
            <w:vAlign w:val="center"/>
          </w:tcPr>
          <w:p w14:paraId="5A41619E">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i w:val="0"/>
                <w:iCs w:val="0"/>
                <w:color w:val="auto"/>
                <w:kern w:val="2"/>
                <w:sz w:val="21"/>
                <w:szCs w:val="21"/>
                <w:highlight w:val="none"/>
                <w:u w:val="none"/>
                <w:lang w:val="en-US" w:eastAsia="zh-CN" w:bidi="ar"/>
              </w:rPr>
              <w:t xml:space="preserve">0.996 </w:t>
            </w:r>
          </w:p>
        </w:tc>
        <w:tc>
          <w:tcPr>
            <w:tcW w:w="1266" w:type="dxa"/>
            <w:vAlign w:val="center"/>
          </w:tcPr>
          <w:p w14:paraId="36D832A8">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bidi="ar"/>
              </w:rPr>
            </w:pPr>
            <w:r>
              <w:rPr>
                <w:rFonts w:hint="eastAsia" w:ascii="宋体" w:hAnsi="宋体" w:eastAsia="宋体" w:cs="宋体"/>
                <w:i w:val="0"/>
                <w:iCs w:val="0"/>
                <w:color w:val="auto"/>
                <w:kern w:val="2"/>
                <w:sz w:val="21"/>
                <w:szCs w:val="21"/>
                <w:highlight w:val="none"/>
                <w:u w:val="none"/>
                <w:lang w:val="en-US" w:eastAsia="zh-CN" w:bidi="ar"/>
              </w:rPr>
              <w:t>0.0076</w:t>
            </w:r>
          </w:p>
        </w:tc>
      </w:tr>
    </w:tbl>
    <w:p w14:paraId="256AC912">
      <w:pPr>
        <w:spacing w:line="360" w:lineRule="auto"/>
        <w:ind w:firstLine="480" w:firstLineChars="200"/>
        <w:rPr>
          <w:sz w:val="24"/>
          <w:highlight w:val="none"/>
        </w:rPr>
      </w:pPr>
      <w:r>
        <w:rPr>
          <w:sz w:val="24"/>
          <w:highlight w:val="none"/>
        </w:rPr>
        <w:t>单次测量结果的</w:t>
      </w:r>
      <w:r>
        <w:rPr>
          <w:rFonts w:hint="eastAsia"/>
          <w:sz w:val="24"/>
          <w:highlight w:val="none"/>
          <w:lang w:val="en-US" w:eastAsia="zh-CN"/>
        </w:rPr>
        <w:t>实验</w:t>
      </w:r>
      <w:r>
        <w:rPr>
          <w:sz w:val="24"/>
          <w:highlight w:val="none"/>
        </w:rPr>
        <w:t>标准差为</w:t>
      </w:r>
      <w:r>
        <w:rPr>
          <w:rFonts w:hint="eastAsia" w:ascii="宋体" w:hAnsi="宋体" w:cs="宋体"/>
          <w:sz w:val="24"/>
          <w:highlight w:val="none"/>
        </w:rPr>
        <w:t>0.0</w:t>
      </w:r>
      <w:r>
        <w:rPr>
          <w:rFonts w:hint="eastAsia" w:ascii="宋体" w:hAnsi="宋体" w:cs="宋体"/>
          <w:sz w:val="24"/>
          <w:highlight w:val="none"/>
          <w:lang w:eastAsia="zh-CN"/>
        </w:rPr>
        <w:t>0</w:t>
      </w:r>
      <w:r>
        <w:rPr>
          <w:rFonts w:hint="eastAsia" w:ascii="宋体" w:hAnsi="宋体" w:cs="宋体"/>
          <w:sz w:val="24"/>
          <w:highlight w:val="none"/>
          <w:lang w:val="en-US" w:eastAsia="zh-CN"/>
        </w:rPr>
        <w:t>8</w:t>
      </w:r>
      <w:r>
        <w:rPr>
          <w:sz w:val="24"/>
          <w:highlight w:val="none"/>
        </w:rPr>
        <w:t>，则重复测量引入的</w:t>
      </w:r>
      <w:r>
        <w:rPr>
          <w:rFonts w:hint="eastAsia"/>
          <w:sz w:val="24"/>
          <w:highlight w:val="none"/>
          <w:lang w:val="en-US" w:eastAsia="zh-CN"/>
        </w:rPr>
        <w:t>相对</w:t>
      </w:r>
      <w:r>
        <w:rPr>
          <w:sz w:val="24"/>
          <w:highlight w:val="none"/>
        </w:rPr>
        <w:t>标准不确定度为：</w:t>
      </w:r>
    </w:p>
    <w:p w14:paraId="68435C98">
      <w:pPr>
        <w:spacing w:line="360" w:lineRule="auto"/>
        <w:jc w:val="center"/>
        <w:rPr>
          <w:rFonts w:hint="default" w:eastAsia="等线"/>
          <w:sz w:val="24"/>
          <w:highlight w:val="none"/>
          <w:lang w:val="en-US" w:eastAsia="zh-CN"/>
        </w:rPr>
      </w:pPr>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re</m:t>
            </m:r>
            <m:r>
              <m:rPr>
                <m:sty m:val="p"/>
              </m:rPr>
              <w:rPr>
                <w:rFonts w:hint="eastAsia" w:ascii="Cambria Math" w:hAnsi="Cambria Math"/>
                <w:sz w:val="24"/>
                <w:highlight w:val="none"/>
                <w:vertAlign w:val="subscript"/>
                <w:lang w:val="en-US" w:eastAsia="zh-CN"/>
              </w:rPr>
              <m:t>l</m:t>
            </m:r>
            <m:ctrlPr>
              <w:rPr>
                <w:rFonts w:hint="default" w:ascii="Cambria Math" w:hAnsi="Cambria Math"/>
                <w:i/>
                <w:sz w:val="24"/>
                <w:highlight w:val="none"/>
              </w:rPr>
            </m:ctrlPr>
          </m:sub>
        </m:sSub>
        <m:d>
          <m:dPr>
            <m:ctrlPr>
              <w:rPr>
                <w:rFonts w:hint="default" w:ascii="Cambria Math" w:hAnsi="Cambria Math"/>
                <w:sz w:val="24"/>
                <w:highlight w:val="none"/>
              </w:rPr>
            </m:ctrlPr>
          </m:dPr>
          <m:e>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I</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sz w:val="24"/>
                <w:highlight w:val="none"/>
              </w:rPr>
            </m:ctrlPr>
          </m:e>
        </m:d>
        <m:r>
          <m:rPr/>
          <w:rPr>
            <w:rFonts w:hint="default" w:ascii="Cambria Math" w:hAnsi="Cambria Math"/>
            <w:sz w:val="24"/>
            <w:highlight w:val="none"/>
          </w:rPr>
          <m:t>=</m:t>
        </m:r>
        <m:f>
          <m:fPr>
            <m:ctrlPr>
              <w:rPr>
                <w:rFonts w:hint="default" w:ascii="Cambria Math" w:hAnsi="Cambria Math"/>
                <w:i/>
                <w:sz w:val="24"/>
                <w:highlight w:val="none"/>
              </w:rPr>
            </m:ctrlPr>
          </m:fPr>
          <m:num>
            <m:r>
              <m:rPr/>
              <w:rPr>
                <w:rFonts w:hint="default" w:ascii="Cambria Math" w:hAnsi="Cambria Math"/>
                <w:sz w:val="24"/>
                <w:highlight w:val="none"/>
              </w:rPr>
              <m:t>0.0</m:t>
            </m:r>
            <m:r>
              <m:rPr/>
              <w:rPr>
                <w:rFonts w:hint="default" w:ascii="Cambria Math" w:hAnsi="Cambria Math"/>
                <w:sz w:val="24"/>
                <w:highlight w:val="none"/>
                <w:lang w:val="en-US" w:eastAsia="zh-CN"/>
              </w:rPr>
              <m:t>076</m:t>
            </m:r>
            <m:ctrlPr>
              <w:rPr>
                <w:rFonts w:hint="default" w:ascii="Cambria Math" w:hAnsi="Cambria Math"/>
                <w:i/>
                <w:sz w:val="24"/>
                <w:highlight w:val="none"/>
              </w:rPr>
            </m:ctrlPr>
          </m:num>
          <m:den>
            <m:r>
              <m:rPr/>
              <w:rPr>
                <w:rFonts w:hint="default" w:ascii="Cambria Math" w:hAnsi="Cambria Math"/>
                <w:sz w:val="24"/>
                <w:highlight w:val="none"/>
                <w:lang w:val="en-US" w:eastAsia="zh-CN"/>
              </w:rPr>
              <m:t>0.996∗</m:t>
            </m:r>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5</m:t>
                </m:r>
                <m:ctrlPr>
                  <w:rPr>
                    <w:rFonts w:hint="default" w:ascii="Cambria Math" w:hAnsi="Cambria Math"/>
                    <w:i/>
                    <w:sz w:val="24"/>
                    <w:highlight w:val="none"/>
                  </w:rPr>
                </m:ctrlPr>
              </m:e>
            </m:rad>
            <m:ctrlPr>
              <w:rPr>
                <w:rFonts w:hint="default" w:ascii="Cambria Math" w:hAnsi="Cambria Math"/>
                <w:i/>
                <w:sz w:val="24"/>
                <w:highlight w:val="none"/>
              </w:rPr>
            </m:ctrlPr>
          </m:den>
        </m:f>
      </m:oMath>
      <w:r>
        <w:rPr>
          <w:rFonts w:eastAsia="等线"/>
          <w:sz w:val="24"/>
          <w:highlight w:val="none"/>
        </w:rPr>
        <w:t>=</w:t>
      </w:r>
      <w:r>
        <w:rPr>
          <w:rFonts w:hint="eastAsia" w:eastAsia="等线"/>
          <w:sz w:val="24"/>
          <w:highlight w:val="none"/>
        </w:rPr>
        <w:t>0.</w:t>
      </w:r>
      <w:r>
        <w:rPr>
          <w:rFonts w:hint="eastAsia" w:eastAsia="等线"/>
          <w:sz w:val="24"/>
          <w:highlight w:val="none"/>
          <w:lang w:val="en-US" w:eastAsia="zh-CN"/>
        </w:rPr>
        <w:t>34%</w:t>
      </w:r>
    </w:p>
    <w:p w14:paraId="32D6BB77">
      <w:pPr>
        <w:spacing w:line="360" w:lineRule="auto"/>
        <w:rPr>
          <w:sz w:val="24"/>
          <w:highlight w:val="none"/>
        </w:rPr>
      </w:pPr>
      <w:r>
        <w:rPr>
          <w:sz w:val="24"/>
          <w:highlight w:val="none"/>
        </w:rPr>
        <w:t>（</w:t>
      </w:r>
      <w:r>
        <w:rPr>
          <w:rFonts w:hint="eastAsia"/>
          <w:sz w:val="24"/>
          <w:highlight w:val="none"/>
          <w:lang w:val="en-US" w:eastAsia="zh-CN"/>
        </w:rPr>
        <w:t>2</w:t>
      </w:r>
      <w:r>
        <w:rPr>
          <w:sz w:val="24"/>
          <w:highlight w:val="none"/>
        </w:rPr>
        <w:t>）荧光相对强度校准引入的相对标准不确定度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p>
    <w:p w14:paraId="4330C55B">
      <w:pPr>
        <w:spacing w:line="360" w:lineRule="auto"/>
        <w:ind w:firstLine="480" w:firstLineChars="200"/>
        <w:jc w:val="left"/>
        <w:rPr>
          <w:rFonts w:hint="default" w:eastAsia="宋体"/>
          <w:sz w:val="24"/>
          <w:highlight w:val="none"/>
          <w:lang w:val="en-US" w:eastAsia="zh-CN"/>
        </w:rPr>
      </w:pPr>
      <w:r>
        <w:rPr>
          <w:sz w:val="24"/>
          <w:highlight w:val="none"/>
        </w:rPr>
        <w:t>荧光相对强度校准引入的相对标准不确定度</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在A.1中进行了评定，以波长500 nm处相对强度为例，</w:t>
      </w:r>
      <w:r>
        <w:rPr>
          <w:i/>
          <w:sz w:val="24"/>
          <w:highlight w:val="none"/>
        </w:rPr>
        <w:t>u</w:t>
      </w:r>
      <w:r>
        <w:rPr>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=1.71%</w:t>
      </w:r>
    </w:p>
    <w:p w14:paraId="11F861EA">
      <w:pPr>
        <w:spacing w:line="360" w:lineRule="auto"/>
        <w:jc w:val="left"/>
        <w:rPr>
          <w:sz w:val="24"/>
          <w:highlight w:val="none"/>
        </w:rPr>
      </w:pPr>
      <w:r>
        <w:rPr>
          <w:rFonts w:hint="eastAsia" w:ascii="宋体" w:hAnsi="宋体" w:eastAsia="宋体" w:cs="宋体"/>
          <w:sz w:val="24"/>
          <w:highlight w:val="none"/>
        </w:rPr>
        <w:t>（</w:t>
      </w:r>
      <w:r>
        <w:rPr>
          <w:rFonts w:hint="eastAsia" w:ascii="宋体" w:hAnsi="宋体" w:cs="宋体"/>
          <w:sz w:val="24"/>
          <w:highlight w:val="none"/>
          <w:lang w:val="en-US" w:eastAsia="zh-CN"/>
        </w:rPr>
        <w:t>3</w:t>
      </w:r>
      <w:r>
        <w:rPr>
          <w:rFonts w:hint="eastAsia" w:ascii="宋体" w:hAnsi="宋体" w:eastAsia="宋体" w:cs="宋体"/>
          <w:sz w:val="24"/>
          <w:highlight w:val="none"/>
        </w:rPr>
        <w:t>）</w:t>
      </w:r>
      <w:r>
        <w:rPr>
          <w:rFonts w:hint="eastAsia" w:ascii="宋体" w:hAnsi="宋体" w:cs="宋体"/>
          <w:sz w:val="24"/>
          <w:highlight w:val="none"/>
          <w:lang w:val="en-US" w:eastAsia="zh-CN"/>
        </w:rPr>
        <w:t>相对</w:t>
      </w:r>
      <w:r>
        <w:rPr>
          <w:sz w:val="24"/>
          <w:highlight w:val="none"/>
        </w:rPr>
        <w:t>合成标准不确定度</w:t>
      </w:r>
    </w:p>
    <w:p w14:paraId="52D0C913">
      <w:pPr>
        <w:spacing w:line="360" w:lineRule="auto"/>
        <w:ind w:firstLine="480" w:firstLineChars="200"/>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各不确定分量不相关，因此，合成标准不确定度为：</w:t>
      </w:r>
    </w:p>
    <w:p w14:paraId="6A03F575">
      <w:pPr>
        <w:spacing w:line="360" w:lineRule="auto"/>
        <w:jc w:val="center"/>
        <w:rPr>
          <w:rFonts w:hint="default"/>
          <w:sz w:val="24"/>
          <w:highlight w:val="none"/>
          <w:lang w:val="en-US"/>
        </w:rPr>
      </w:pPr>
      <m:oMath>
        <m:sSub>
          <m:sSubPr>
            <m:ctrlPr>
              <w:rPr>
                <w:rFonts w:hint="default" w:ascii="Cambria Math" w:hAnsi="Cambria Math" w:eastAsia="宋体" w:cs="Bahnschrift SemiLight SemiCondensed"/>
                <w:i/>
                <w:iCs/>
                <w:kern w:val="24"/>
                <w:sz w:val="24"/>
                <w:szCs w:val="24"/>
                <w:highlight w:val="none"/>
              </w:rPr>
            </m:ctrlPr>
          </m:sSubPr>
          <m:e>
            <m:r>
              <m:rPr/>
              <w:rPr>
                <w:rFonts w:hint="default" w:ascii="Cambria Math" w:hAnsi="Cambria Math" w:eastAsia="宋体" w:cs="Bahnschrift SemiLight SemiCondensed"/>
                <w:kern w:val="24"/>
                <w:sz w:val="24"/>
                <w:szCs w:val="24"/>
                <w:highlight w:val="none"/>
              </w:rPr>
              <m:t>u</m:t>
            </m:r>
            <m:ctrlPr>
              <w:rPr>
                <w:rFonts w:hint="default" w:ascii="Cambria Math" w:hAnsi="Cambria Math" w:eastAsia="宋体" w:cs="Bahnschrift SemiLight SemiCondensed"/>
                <w:i/>
                <w:iCs/>
                <w:kern w:val="24"/>
                <w:sz w:val="24"/>
                <w:szCs w:val="24"/>
                <w:highlight w:val="none"/>
              </w:rPr>
            </m:ctrlPr>
          </m:e>
          <m:sub>
            <m:r>
              <m:rPr>
                <m:sty m:val="p"/>
              </m:rPr>
              <w:rPr>
                <w:rFonts w:hint="default" w:ascii="Cambria Math" w:hAnsi="Cambria Math" w:eastAsia="宋体" w:cs="Bahnschrift SemiLight SemiCondensed"/>
                <w:kern w:val="24"/>
                <w:sz w:val="24"/>
                <w:szCs w:val="24"/>
                <w:highlight w:val="none"/>
              </w:rPr>
              <m:t>c</m:t>
            </m:r>
            <m:r>
              <m:rPr>
                <m:sty m:val="p"/>
              </m:rPr>
              <w:rPr>
                <w:rFonts w:hint="default" w:ascii="Cambria Math" w:hAnsi="Cambria Math" w:cs="Bahnschrift SemiLight SemiCondensed"/>
                <w:kern w:val="24"/>
                <w:sz w:val="24"/>
                <w:szCs w:val="24"/>
                <w:highlight w:val="none"/>
                <w:lang w:val="en-US" w:eastAsia="zh-CN"/>
              </w:rPr>
              <m:t xml:space="preserve"> </m:t>
            </m:r>
            <m:r>
              <m:rPr>
                <m:sty m:val="p"/>
              </m:rPr>
              <w:rPr>
                <w:rFonts w:hint="eastAsia" w:ascii="Cambria Math" w:hAnsi="Cambria Math" w:cs="Bahnschrift SemiLight SemiCondensed"/>
                <w:kern w:val="24"/>
                <w:sz w:val="24"/>
                <w:szCs w:val="24"/>
                <w:highlight w:val="none"/>
                <w:lang w:val="en-US" w:eastAsia="zh-CN"/>
              </w:rPr>
              <m:t>rel</m:t>
            </m:r>
            <m:ctrlPr>
              <w:rPr>
                <w:rFonts w:hint="default" w:ascii="Cambria Math" w:hAnsi="Cambria Math" w:eastAsia="宋体" w:cs="Bahnschrift SemiLight SemiCondensed"/>
                <w:i/>
                <w:iCs/>
                <w:kern w:val="24"/>
                <w:sz w:val="24"/>
                <w:szCs w:val="24"/>
                <w:highlight w:val="none"/>
              </w:rPr>
            </m:ctrlPr>
          </m:sub>
        </m:sSub>
        <m:d>
          <m:dPr>
            <m:ctrlPr>
              <w:rPr>
                <w:rFonts w:hint="default" w:ascii="Cambria Math" w:hAnsi="Cambria Math" w:eastAsia="宋体" w:cs="Bahnschrift SemiLight SemiCondensed"/>
                <w:i/>
                <w:iCs/>
                <w:kern w:val="24"/>
                <w:sz w:val="24"/>
                <w:szCs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宋体" w:cs="Bahnschrift SemiLight SemiCondensed"/>
                <w:i/>
                <w:iCs/>
                <w:kern w:val="24"/>
                <w:sz w:val="24"/>
                <w:szCs w:val="24"/>
                <w:highlight w:val="none"/>
              </w:rPr>
            </m:ctrlPr>
          </m:e>
        </m:d>
        <m:r>
          <m:rPr/>
          <w:rPr>
            <w:rFonts w:hint="default" w:ascii="Cambria Math" w:hAnsi="Cambria Math" w:eastAsia="等线"/>
            <w:kern w:val="24"/>
            <w:sz w:val="24"/>
            <w:szCs w:val="24"/>
            <w:highlight w:val="none"/>
          </w:rPr>
          <m:t>=</m:t>
        </m:r>
        <m:rad>
          <m:radPr>
            <m:degHide m:val="1"/>
            <m:ctrlPr>
              <w:rPr>
                <w:rFonts w:hint="default" w:ascii="Cambria Math" w:hAnsi="Cambria Math" w:eastAsia="等线"/>
                <w:i/>
                <w:iCs/>
                <w:kern w:val="24"/>
                <w:sz w:val="24"/>
                <w:szCs w:val="24"/>
                <w:highlight w:val="none"/>
              </w:rPr>
            </m:ctrlPr>
          </m:radPr>
          <m:deg>
            <m:ctrlPr>
              <w:rPr>
                <w:rFonts w:hint="default" w:ascii="Cambria Math" w:hAnsi="Cambria Math" w:eastAsia="等线"/>
                <w:i/>
                <w:iCs/>
                <w:kern w:val="24"/>
                <w:sz w:val="24"/>
                <w:szCs w:val="24"/>
                <w:highlight w:val="none"/>
              </w:rPr>
            </m:ctrlPr>
          </m:deg>
          <m:e>
            <m:sSubSup>
              <m:sSubSupPr>
                <m:ctrlPr>
                  <w:rPr>
                    <w:rFonts w:hint="default" w:ascii="Cambria Math" w:hAnsi="Cambria Math" w:eastAsia="等线"/>
                    <w:i/>
                    <w:iCs/>
                    <w:kern w:val="24"/>
                    <w:sz w:val="24"/>
                    <w:szCs w:val="24"/>
                    <w:highlight w:val="none"/>
                  </w:rPr>
                </m:ctrlPr>
              </m:sSubSupPr>
              <m:e>
                <m:r>
                  <m:rPr/>
                  <w:rPr>
                    <w:rFonts w:hint="default" w:ascii="Cambria Math" w:hAnsi="Cambria Math"/>
                    <w:sz w:val="24"/>
                    <w:szCs w:val="24"/>
                    <w:highlight w:val="none"/>
                  </w:rPr>
                  <m:t>u</m:t>
                </m:r>
                <m:ctrlPr>
                  <w:rPr>
                    <w:rFonts w:hint="default" w:ascii="Cambria Math" w:hAnsi="Cambria Math" w:eastAsia="等线"/>
                    <w:i/>
                    <w:iCs/>
                    <w:kern w:val="24"/>
                    <w:sz w:val="24"/>
                    <w:szCs w:val="24"/>
                    <w:highlight w:val="none"/>
                  </w:rPr>
                </m:ctrlPr>
              </m:e>
              <m:sub>
                <m:r>
                  <m:rPr>
                    <m:sty m:val="p"/>
                  </m:rPr>
                  <w:rPr>
                    <w:rFonts w:hint="eastAsia" w:ascii="Cambria Math" w:hAnsi="Cambria Math" w:eastAsia="等线"/>
                    <w:kern w:val="24"/>
                    <w:sz w:val="24"/>
                    <w:szCs w:val="24"/>
                    <w:highlight w:val="none"/>
                  </w:rPr>
                  <m:t>re</m:t>
                </m:r>
                <m:r>
                  <m:rPr>
                    <m:sty m:val="p"/>
                  </m:rPr>
                  <w:rPr>
                    <w:rFonts w:hint="eastAsia" w:ascii="Cambria Math" w:hAnsi="Cambria Math" w:eastAsia="等线"/>
                    <w:kern w:val="24"/>
                    <w:sz w:val="24"/>
                    <w:szCs w:val="24"/>
                    <w:highlight w:val="none"/>
                    <w:lang w:val="en-US" w:eastAsia="zh-CN"/>
                  </w:rPr>
                  <m:t>l</m:t>
                </m:r>
                <m:ctrlPr>
                  <w:rPr>
                    <w:rFonts w:hint="default" w:ascii="Cambria Math" w:hAnsi="Cambria Math" w:eastAsia="等线"/>
                    <w:i/>
                    <w:iCs/>
                    <w:kern w:val="24"/>
                    <w:sz w:val="24"/>
                    <w:szCs w:val="24"/>
                    <w:highlight w:val="none"/>
                  </w:rPr>
                </m:ctrlPr>
              </m:sub>
              <m:sup>
                <m:r>
                  <m:rPr/>
                  <w:rPr>
                    <w:rFonts w:hint="default" w:ascii="Cambria Math" w:hAnsi="Cambria Math" w:eastAsia="等线"/>
                    <w:kern w:val="24"/>
                    <w:sz w:val="24"/>
                    <w:szCs w:val="24"/>
                    <w:highlight w:val="none"/>
                  </w:rPr>
                  <m:t>2</m:t>
                </m:r>
                <m:ctrlPr>
                  <w:rPr>
                    <w:rFonts w:hint="default" w:ascii="Cambria Math" w:hAnsi="Cambria Math" w:eastAsia="等线"/>
                    <w:i/>
                    <w:iCs/>
                    <w:kern w:val="24"/>
                    <w:sz w:val="24"/>
                    <w:szCs w:val="24"/>
                    <w:highlight w:val="none"/>
                  </w:rPr>
                </m:ctrlPr>
              </m:sup>
            </m:sSubSup>
            <m:d>
              <m:dPr>
                <m:ctrlPr>
                  <w:rPr>
                    <w:rFonts w:hint="default" w:ascii="Cambria Math" w:hAnsi="Cambria Math"/>
                    <w:sz w:val="24"/>
                    <w:highlight w:val="none"/>
                  </w:rPr>
                </m:ctrlPr>
              </m:dPr>
              <m:e>
                <m:sSub>
                  <m:sSubPr>
                    <m:ctrlPr>
                      <w:rPr>
                        <w:rFonts w:hint="default" w:ascii="Cambria Math" w:hAnsi="Cambria Math"/>
                        <w:sz w:val="24"/>
                        <w:highlight w:val="none"/>
                      </w:rPr>
                    </m:ctrlPr>
                  </m:sSubPr>
                  <m:e>
                    <m:r>
                      <m:rPr/>
                      <w:rPr>
                        <w:rFonts w:hint="default" w:ascii="Cambria Math" w:hAnsi="Cambria Math"/>
                        <w:sz w:val="24"/>
                        <w:highlight w:val="none"/>
                        <w:lang w:val="en-US" w:eastAsia="zh-CN"/>
                      </w:rPr>
                      <m:t>I</m:t>
                    </m:r>
                    <m:ctrlPr>
                      <w:rPr>
                        <w:rFonts w:hint="default" w:ascii="Cambria Math" w:hAnsi="Cambria Math"/>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sz w:val="24"/>
                    <w:highlight w:val="none"/>
                  </w:rPr>
                </m:ctrlPr>
              </m:e>
            </m:d>
            <m:r>
              <m:rPr/>
              <w:rPr>
                <w:rFonts w:hint="default" w:ascii="Cambria Math" w:hAnsi="Cambria Math" w:eastAsia="等线"/>
                <w:kern w:val="24"/>
                <w:sz w:val="24"/>
                <w:szCs w:val="24"/>
                <w:highlight w:val="none"/>
              </w:rPr>
              <m:t>+</m:t>
            </m:r>
            <m:sSubSup>
              <m:sSubSupPr>
                <m:ctrlPr>
                  <w:rPr>
                    <w:rFonts w:hint="default" w:ascii="Cambria Math" w:hAnsi="Cambria Math" w:eastAsia="等线"/>
                    <w:i/>
                    <w:iCs/>
                    <w:kern w:val="24"/>
                    <w:sz w:val="24"/>
                    <w:szCs w:val="24"/>
                    <w:highlight w:val="none"/>
                  </w:rPr>
                </m:ctrlPr>
              </m:sSubSupPr>
              <m:e>
                <m:r>
                  <m:rPr/>
                  <w:rPr>
                    <w:rFonts w:hint="default" w:ascii="Cambria Math" w:hAnsi="Cambria Math"/>
                    <w:sz w:val="24"/>
                    <w:szCs w:val="24"/>
                    <w:highlight w:val="none"/>
                  </w:rPr>
                  <m:t>u</m:t>
                </m:r>
                <m:ctrlPr>
                  <w:rPr>
                    <w:rFonts w:hint="default" w:ascii="Cambria Math" w:hAnsi="Cambria Math" w:eastAsia="等线"/>
                    <w:i/>
                    <w:iCs/>
                    <w:kern w:val="24"/>
                    <w:sz w:val="24"/>
                    <w:szCs w:val="24"/>
                    <w:highlight w:val="none"/>
                  </w:rPr>
                </m:ctrlPr>
              </m:e>
              <m:sub>
                <m:r>
                  <m:rPr>
                    <m:sty m:val="p"/>
                  </m:rPr>
                  <w:rPr>
                    <w:rFonts w:hint="eastAsia" w:ascii="Cambria Math" w:hAnsi="Cambria Math" w:eastAsia="等线"/>
                    <w:kern w:val="24"/>
                    <w:sz w:val="24"/>
                    <w:szCs w:val="24"/>
                    <w:highlight w:val="none"/>
                  </w:rPr>
                  <m:t>re</m:t>
                </m:r>
                <m:r>
                  <m:rPr>
                    <m:sty m:val="p"/>
                  </m:rPr>
                  <w:rPr>
                    <w:rFonts w:hint="eastAsia" w:ascii="Cambria Math" w:hAnsi="Cambria Math" w:eastAsia="等线"/>
                    <w:kern w:val="24"/>
                    <w:sz w:val="24"/>
                    <w:szCs w:val="24"/>
                    <w:highlight w:val="none"/>
                    <w:lang w:val="en-US" w:eastAsia="zh-CN"/>
                  </w:rPr>
                  <m:t>l</m:t>
                </m:r>
                <m:ctrlPr>
                  <w:rPr>
                    <w:rFonts w:hint="default" w:ascii="Cambria Math" w:hAnsi="Cambria Math" w:eastAsia="等线"/>
                    <w:i/>
                    <w:iCs/>
                    <w:kern w:val="24"/>
                    <w:sz w:val="24"/>
                    <w:szCs w:val="24"/>
                    <w:highlight w:val="none"/>
                  </w:rPr>
                </m:ctrlPr>
              </m:sub>
              <m:sup>
                <m:r>
                  <m:rPr/>
                  <w:rPr>
                    <w:rFonts w:hint="default" w:ascii="Cambria Math" w:hAnsi="Cambria Math" w:eastAsia="等线"/>
                    <w:kern w:val="24"/>
                    <w:sz w:val="24"/>
                    <w:szCs w:val="24"/>
                    <w:highlight w:val="none"/>
                  </w:rPr>
                  <m:t>2</m:t>
                </m:r>
                <m:ctrlPr>
                  <w:rPr>
                    <w:rFonts w:hint="default" w:ascii="Cambria Math" w:hAnsi="Cambria Math" w:eastAsia="等线"/>
                    <w:i/>
                    <w:iCs/>
                    <w:kern w:val="24"/>
                    <w:sz w:val="24"/>
                    <w:szCs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lang w:val="en-US" w:eastAsia="zh-CN"/>
                  </w:rPr>
                  <m:t>C</m:t>
                </m:r>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sz w:val="24"/>
                    <w:highlight w:val="none"/>
                  </w:rPr>
                </m:ctrlPr>
              </m:e>
            </m:d>
            <m:ctrlPr>
              <w:rPr>
                <w:rFonts w:hint="default" w:ascii="Cambria Math" w:hAnsi="Cambria Math" w:eastAsia="等线"/>
                <w:i/>
                <w:iCs/>
                <w:kern w:val="24"/>
                <w:sz w:val="24"/>
                <w:szCs w:val="24"/>
                <w:highlight w:val="none"/>
              </w:rPr>
            </m:ctrlPr>
          </m:e>
        </m:rad>
      </m:oMath>
      <w:r>
        <w:rPr>
          <w:rFonts w:hint="eastAsia" w:hAnsi="Cambria Math" w:eastAsia="等线"/>
          <w:i w:val="0"/>
          <w:iCs/>
          <w:kern w:val="24"/>
          <w:sz w:val="24"/>
          <w:szCs w:val="24"/>
          <w:highlight w:val="none"/>
          <w:lang w:val="en-US" w:eastAsia="zh-CN"/>
        </w:rPr>
        <w:t>=</w:t>
      </w:r>
      <w:r>
        <w:rPr>
          <w:rFonts w:hint="eastAsia" w:hAnsi="Cambria Math" w:eastAsia="等线"/>
          <w:i w:val="0"/>
          <w:iCs/>
          <w:color w:val="auto"/>
          <w:kern w:val="24"/>
          <w:sz w:val="24"/>
          <w:szCs w:val="24"/>
          <w:highlight w:val="none"/>
          <w:lang w:val="en-US" w:eastAsia="zh-CN"/>
        </w:rPr>
        <w:t>1.75%</w:t>
      </w:r>
    </w:p>
    <w:p w14:paraId="114200BE">
      <w:pPr>
        <w:spacing w:line="360" w:lineRule="auto"/>
        <w:rPr>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sz w:val="24"/>
          <w:highlight w:val="none"/>
          <w:lang w:val="en-US" w:eastAsia="zh-CN"/>
        </w:rPr>
        <w:t>相对</w:t>
      </w:r>
      <w:r>
        <w:rPr>
          <w:sz w:val="24"/>
          <w:highlight w:val="none"/>
        </w:rPr>
        <w:t>扩展不确定度</w:t>
      </w:r>
    </w:p>
    <w:p w14:paraId="7485313B">
      <w:pPr>
        <w:spacing w:line="360" w:lineRule="auto"/>
        <w:ind w:firstLine="480" w:firstLineChars="200"/>
        <w:rPr>
          <w:sz w:val="24"/>
          <w:highlight w:val="none"/>
        </w:rPr>
      </w:pPr>
      <w:r>
        <w:rPr>
          <w:sz w:val="24"/>
          <w:highlight w:val="none"/>
        </w:rPr>
        <w:t>扩展不确定度</w:t>
      </w:r>
      <m:oMath>
        <m:sSub>
          <m:sSubPr>
            <m:ctrlPr>
              <w:rPr>
                <w:rFonts w:ascii="Cambria Math"/>
                <w:sz w:val="24"/>
                <w:highlight w:val="none"/>
              </w:rPr>
            </m:ctrlPr>
          </m:sSubPr>
          <m:e>
            <m:r>
              <m:rPr/>
              <w:rPr>
                <w:rFonts w:hint="default" w:ascii="Cambria Math" w:hAnsi="Cambria Math"/>
                <w:sz w:val="24"/>
                <w:highlight w:val="none"/>
                <w:lang w:val="en-US" w:eastAsia="zh-CN"/>
              </w:rPr>
              <m:t>U</m:t>
            </m:r>
            <m:ctrlPr>
              <w:rPr>
                <w:rFonts w:ascii="Cambria Math"/>
                <w:sz w:val="24"/>
                <w:highlight w:val="none"/>
              </w:rPr>
            </m:ctrlPr>
          </m:e>
          <m:sub>
            <m:r>
              <m:rPr>
                <m:sty m:val="p"/>
              </m:rPr>
              <w:rPr>
                <w:rFonts w:hint="eastAsia" w:ascii="Cambria Math"/>
                <w:sz w:val="24"/>
                <w:highlight w:val="none"/>
                <w:lang w:val="en-US" w:eastAsia="zh-CN"/>
              </w:rPr>
              <m:t>rel</m:t>
            </m:r>
            <m:ctrlPr>
              <w:rPr>
                <w:rFonts w:ascii="Cambria Math"/>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i/>
                <w:kern w:val="24"/>
                <w:sz w:val="24"/>
                <w:highlight w:val="none"/>
              </w:rPr>
            </m:ctrlPr>
          </m:e>
        </m:d>
      </m:oMath>
      <w:r>
        <w:rPr>
          <w:sz w:val="24"/>
          <w:highlight w:val="none"/>
        </w:rPr>
        <w:t>等于包含因子</w:t>
      </w:r>
      <w:r>
        <w:rPr>
          <w:i/>
          <w:sz w:val="24"/>
          <w:highlight w:val="none"/>
        </w:rPr>
        <w:t>k</w:t>
      </w:r>
      <w:r>
        <w:rPr>
          <w:sz w:val="24"/>
          <w:highlight w:val="none"/>
        </w:rPr>
        <w:t>与合成标准不确定度</w:t>
      </w:r>
      <m:oMath>
        <m:sSub>
          <m:sSubPr>
            <m:ctrlPr>
              <w:rPr>
                <w:rFonts w:hint="default" w:ascii="Cambria Math" w:hAnsi="Cambria Math" w:eastAsia="宋体" w:cs="Bahnschrift SemiLight SemiCondensed"/>
                <w:i/>
                <w:iCs/>
                <w:kern w:val="24"/>
                <w:sz w:val="24"/>
                <w:szCs w:val="24"/>
                <w:highlight w:val="none"/>
              </w:rPr>
            </m:ctrlPr>
          </m:sSubPr>
          <m:e>
            <m:r>
              <m:rPr/>
              <w:rPr>
                <w:rFonts w:hint="default" w:ascii="Cambria Math" w:hAnsi="Cambria Math" w:eastAsia="宋体" w:cs="Bahnschrift SemiLight SemiCondensed"/>
                <w:kern w:val="24"/>
                <w:sz w:val="24"/>
                <w:szCs w:val="24"/>
                <w:highlight w:val="none"/>
              </w:rPr>
              <m:t>u</m:t>
            </m:r>
            <m:ctrlPr>
              <w:rPr>
                <w:rFonts w:hint="default" w:ascii="Cambria Math" w:hAnsi="Cambria Math" w:eastAsia="宋体" w:cs="Bahnschrift SemiLight SemiCondensed"/>
                <w:i/>
                <w:iCs/>
                <w:kern w:val="24"/>
                <w:sz w:val="24"/>
                <w:szCs w:val="24"/>
                <w:highlight w:val="none"/>
              </w:rPr>
            </m:ctrlPr>
          </m:e>
          <m:sub>
            <m:r>
              <m:rPr>
                <m:sty m:val="p"/>
              </m:rPr>
              <w:rPr>
                <w:rFonts w:hint="default" w:ascii="Cambria Math" w:hAnsi="Cambria Math" w:eastAsia="宋体" w:cs="Bahnschrift SemiLight SemiCondensed"/>
                <w:kern w:val="24"/>
                <w:sz w:val="24"/>
                <w:szCs w:val="24"/>
                <w:highlight w:val="none"/>
              </w:rPr>
              <m:t>c</m:t>
            </m:r>
            <m:ctrlPr>
              <w:rPr>
                <w:rFonts w:hint="default" w:ascii="Cambria Math" w:hAnsi="Cambria Math" w:eastAsia="宋体" w:cs="Bahnschrift SemiLight SemiCondensed"/>
                <w:i/>
                <w:iCs/>
                <w:kern w:val="24"/>
                <w:sz w:val="24"/>
                <w:szCs w:val="24"/>
                <w:highlight w:val="none"/>
              </w:rPr>
            </m:ctrlPr>
          </m:sub>
        </m:sSub>
        <m:d>
          <m:dPr>
            <m:ctrlPr>
              <w:rPr>
                <w:rFonts w:hint="default" w:ascii="Cambria Math" w:hAnsi="Cambria Math" w:eastAsia="宋体" w:cs="Bahnschrift SemiLight SemiCondensed"/>
                <w:i/>
                <w:iCs/>
                <w:kern w:val="24"/>
                <w:sz w:val="24"/>
                <w:szCs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宋体" w:cs="Bahnschrift SemiLight SemiCondensed"/>
                <w:i/>
                <w:iCs/>
                <w:kern w:val="24"/>
                <w:sz w:val="24"/>
                <w:szCs w:val="24"/>
                <w:highlight w:val="none"/>
              </w:rPr>
            </m:ctrlPr>
          </m:e>
        </m:d>
      </m:oMath>
      <w:r>
        <w:rPr>
          <w:sz w:val="24"/>
          <w:highlight w:val="none"/>
        </w:rPr>
        <w:t>之积，在此取</w:t>
      </w:r>
      <w:r>
        <w:rPr>
          <w:i/>
          <w:sz w:val="24"/>
          <w:highlight w:val="none"/>
        </w:rPr>
        <w:t>k</w:t>
      </w:r>
      <w:r>
        <w:rPr>
          <w:sz w:val="24"/>
          <w:highlight w:val="none"/>
        </w:rPr>
        <w:t>=2。</w:t>
      </w:r>
    </w:p>
    <w:p w14:paraId="395EDF4A">
      <w:pPr>
        <w:spacing w:line="360" w:lineRule="auto"/>
        <w:jc w:val="center"/>
        <w:rPr>
          <w:sz w:val="24"/>
          <w:highlight w:val="none"/>
        </w:rPr>
      </w:pPr>
      <m:oMath>
        <m:sSub>
          <m:sSubPr>
            <m:ctrlPr>
              <w:rPr>
                <w:rFonts w:ascii="Cambria Math"/>
                <w:sz w:val="24"/>
                <w:highlight w:val="none"/>
              </w:rPr>
            </m:ctrlPr>
          </m:sSubPr>
          <m:e>
            <m:r>
              <m:rPr/>
              <w:rPr>
                <w:rFonts w:hint="default" w:ascii="Cambria Math" w:hAnsi="Cambria Math"/>
                <w:sz w:val="24"/>
                <w:highlight w:val="none"/>
                <w:lang w:val="en-US" w:eastAsia="zh-CN"/>
              </w:rPr>
              <m:t>U</m:t>
            </m:r>
            <m:ctrlPr>
              <w:rPr>
                <w:rFonts w:ascii="Cambria Math"/>
                <w:sz w:val="24"/>
                <w:highlight w:val="none"/>
              </w:rPr>
            </m:ctrlPr>
          </m:e>
          <m:sub>
            <m:r>
              <m:rPr>
                <m:sty m:val="p"/>
              </m:rPr>
              <w:rPr>
                <w:rFonts w:hint="eastAsia" w:ascii="Cambria Math"/>
                <w:sz w:val="24"/>
                <w:highlight w:val="none"/>
                <w:lang w:val="en-US" w:eastAsia="zh-CN"/>
              </w:rPr>
              <m:t>rel</m:t>
            </m:r>
            <m:ctrlPr>
              <w:rPr>
                <w:rFonts w:ascii="Cambria Math"/>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eastAsia="宋体" w:cs="Bahnschrift SemiLight SemiCondensed"/>
                <w:i/>
                <w:iCs/>
                <w:kern w:val="24"/>
                <w:sz w:val="24"/>
                <w:szCs w:val="24"/>
                <w:highlight w:val="none"/>
              </w:rPr>
            </m:ctrlPr>
          </m:sSubPr>
          <m:e>
            <m:r>
              <m:rPr/>
              <w:rPr>
                <w:rFonts w:hint="default" w:ascii="Cambria Math" w:hAnsi="Cambria Math" w:eastAsia="宋体" w:cs="Bahnschrift SemiLight SemiCondensed"/>
                <w:kern w:val="24"/>
                <w:sz w:val="24"/>
                <w:szCs w:val="24"/>
                <w:highlight w:val="none"/>
              </w:rPr>
              <m:t>u</m:t>
            </m:r>
            <m:ctrlPr>
              <w:rPr>
                <w:rFonts w:hint="default" w:ascii="Cambria Math" w:hAnsi="Cambria Math" w:eastAsia="宋体" w:cs="Bahnschrift SemiLight SemiCondensed"/>
                <w:i/>
                <w:iCs/>
                <w:kern w:val="24"/>
                <w:sz w:val="24"/>
                <w:szCs w:val="24"/>
                <w:highlight w:val="none"/>
              </w:rPr>
            </m:ctrlPr>
          </m:e>
          <m:sub>
            <m:r>
              <m:rPr>
                <m:sty m:val="p"/>
              </m:rPr>
              <w:rPr>
                <w:rFonts w:hint="default" w:ascii="Cambria Math" w:hAnsi="Cambria Math" w:eastAsia="宋体" w:cs="Bahnschrift SemiLight SemiCondensed"/>
                <w:kern w:val="24"/>
                <w:sz w:val="24"/>
                <w:szCs w:val="24"/>
                <w:highlight w:val="none"/>
              </w:rPr>
              <m:t>c</m:t>
            </m:r>
            <m:r>
              <m:rPr>
                <m:sty m:val="p"/>
              </m:rPr>
              <w:rPr>
                <w:rFonts w:hint="default" w:ascii="Cambria Math" w:hAnsi="Cambria Math" w:cs="Bahnschrift SemiLight SemiCondensed"/>
                <w:kern w:val="24"/>
                <w:sz w:val="24"/>
                <w:szCs w:val="24"/>
                <w:highlight w:val="none"/>
                <w:lang w:val="en-US" w:eastAsia="zh-CN"/>
              </w:rPr>
              <m:t xml:space="preserve"> </m:t>
            </m:r>
            <m:r>
              <m:rPr>
                <m:sty m:val="p"/>
              </m:rPr>
              <w:rPr>
                <w:rFonts w:hint="eastAsia" w:ascii="Cambria Math" w:hAnsi="Cambria Math" w:cs="Bahnschrift SemiLight SemiCondensed"/>
                <w:kern w:val="24"/>
                <w:sz w:val="24"/>
                <w:szCs w:val="24"/>
                <w:highlight w:val="none"/>
                <w:lang w:val="en-US" w:eastAsia="zh-CN"/>
              </w:rPr>
              <m:t>rel</m:t>
            </m:r>
            <m:ctrlPr>
              <w:rPr>
                <w:rFonts w:hint="default" w:ascii="Cambria Math" w:hAnsi="Cambria Math" w:eastAsia="宋体" w:cs="Bahnschrift SemiLight SemiCondensed"/>
                <w:i/>
                <w:iCs/>
                <w:kern w:val="24"/>
                <w:sz w:val="24"/>
                <w:szCs w:val="24"/>
                <w:highlight w:val="none"/>
              </w:rPr>
            </m:ctrlPr>
          </m:sub>
        </m:sSub>
        <m:d>
          <m:dPr>
            <m:ctrlPr>
              <w:rPr>
                <w:rFonts w:hint="default" w:ascii="Cambria Math" w:hAnsi="Cambria Math" w:eastAsia="宋体" w:cs="Bahnschrift SemiLight SemiCondensed"/>
                <w:i/>
                <w:iCs/>
                <w:kern w:val="24"/>
                <w:sz w:val="24"/>
                <w:szCs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宋体" w:cs="Bahnschrift SemiLight SemiCondensed"/>
                <w:i/>
                <w:iCs/>
                <w:kern w:val="24"/>
                <w:sz w:val="24"/>
                <w:szCs w:val="24"/>
                <w:highlight w:val="none"/>
              </w:rPr>
            </m:ctrlPr>
          </m:e>
        </m:d>
        <m:r>
          <m:rPr/>
          <w:rPr>
            <w:rFonts w:hint="default" w:ascii="Cambria Math" w:hAnsi="Cambria Math"/>
            <w:kern w:val="24"/>
            <w:sz w:val="24"/>
            <w:highlight w:val="none"/>
          </w:rPr>
          <m:t>=</m:t>
        </m:r>
        <m:r>
          <m:rPr/>
          <w:rPr>
            <w:rFonts w:hint="default" w:ascii="Cambria Math" w:hAnsi="Cambria Math"/>
            <w:kern w:val="24"/>
            <w:sz w:val="24"/>
            <w:highlight w:val="none"/>
            <w:lang w:val="en-US" w:eastAsia="zh-CN"/>
          </w:rPr>
          <m:t>3.5%</m:t>
        </m:r>
      </m:oMath>
      <w:r>
        <w:rPr>
          <w:i/>
          <w:kern w:val="24"/>
          <w:sz w:val="24"/>
          <w:highlight w:val="none"/>
        </w:rPr>
        <w:t xml:space="preserve"> </w:t>
      </w:r>
      <w:r>
        <w:rPr>
          <w:sz w:val="24"/>
          <w:highlight w:val="none"/>
        </w:rPr>
        <w:t>(</w:t>
      </w:r>
      <w:r>
        <w:rPr>
          <w:i/>
          <w:sz w:val="24"/>
          <w:highlight w:val="none"/>
        </w:rPr>
        <w:t>k</w:t>
      </w:r>
      <w:r>
        <w:rPr>
          <w:sz w:val="24"/>
          <w:highlight w:val="none"/>
        </w:rPr>
        <w:t>=2)</w:t>
      </w:r>
    </w:p>
    <w:p w14:paraId="6E6F830A">
      <w:pPr>
        <w:spacing w:line="360" w:lineRule="auto"/>
        <w:rPr>
          <w:rFonts w:hint="eastAsia" w:ascii="宋体" w:hAnsi="宋体" w:eastAsia="宋体" w:cs="宋体"/>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2</w:t>
      </w:r>
      <w:r>
        <w:rPr>
          <w:rFonts w:hint="eastAsia" w:ascii="宋体" w:hAnsi="宋体" w:eastAsia="宋体" w:cs="宋体"/>
          <w:sz w:val="24"/>
          <w:highlight w:val="none"/>
        </w:rPr>
        <w:t>.4 报告结果</w:t>
      </w:r>
    </w:p>
    <w:p w14:paraId="719D3ED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通过以上分析和计算，可得在波长</w:t>
      </w:r>
      <w:r>
        <w:rPr>
          <w:rFonts w:hint="eastAsia" w:ascii="宋体" w:hAnsi="宋体" w:cs="宋体"/>
          <w:sz w:val="24"/>
          <w:highlight w:val="none"/>
          <w:lang w:val="en-US" w:eastAsia="zh-CN"/>
        </w:rPr>
        <w:t xml:space="preserve">555 </w:t>
      </w:r>
      <w:r>
        <w:rPr>
          <w:rFonts w:hint="default"/>
          <w:sz w:val="24"/>
          <w:highlight w:val="none"/>
        </w:rPr>
        <w:t>nm</w:t>
      </w:r>
      <w:r>
        <w:rPr>
          <w:rFonts w:hint="eastAsia"/>
          <w:sz w:val="24"/>
          <w:highlight w:val="none"/>
          <w:lang w:val="en-US" w:eastAsia="zh-CN"/>
        </w:rPr>
        <w:t>处</w:t>
      </w:r>
      <w:r>
        <w:rPr>
          <w:rFonts w:hint="eastAsia" w:ascii="宋体" w:hAnsi="宋体" w:cs="宋体"/>
          <w:sz w:val="24"/>
          <w:highlight w:val="none"/>
        </w:rPr>
        <w:t>，</w:t>
      </w:r>
      <w:r>
        <w:rPr>
          <w:rFonts w:hint="eastAsia"/>
          <w:sz w:val="24"/>
          <w:highlight w:val="none"/>
        </w:rPr>
        <w:t>荧光</w:t>
      </w:r>
      <w:r>
        <w:rPr>
          <w:rFonts w:hint="eastAsia" w:cs="Times New Roman"/>
          <w:kern w:val="2"/>
          <w:sz w:val="24"/>
          <w:szCs w:val="24"/>
          <w:highlight w:val="none"/>
          <w:lang w:val="en-US" w:eastAsia="zh-CN"/>
        </w:rPr>
        <w:t>相对强度</w:t>
      </w:r>
      <w:r>
        <w:rPr>
          <w:rFonts w:hint="eastAsia" w:ascii="宋体" w:hAnsi="宋体" w:cs="宋体"/>
          <w:sz w:val="24"/>
          <w:highlight w:val="none"/>
        </w:rPr>
        <w:t>测量</w:t>
      </w:r>
      <w:r>
        <w:rPr>
          <w:rFonts w:hint="eastAsia" w:ascii="宋体" w:hAnsi="宋体" w:cs="宋体"/>
          <w:sz w:val="24"/>
          <w:highlight w:val="none"/>
          <w:lang w:val="en-US" w:eastAsia="zh-CN"/>
        </w:rPr>
        <w:t>相对</w:t>
      </w:r>
      <w:r>
        <w:rPr>
          <w:rFonts w:hint="eastAsia" w:ascii="宋体" w:hAnsi="宋体" w:cs="宋体"/>
          <w:sz w:val="24"/>
          <w:highlight w:val="none"/>
        </w:rPr>
        <w:t>扩展不确定度为：</w:t>
      </w:r>
      <m:oMath>
        <m:sSub>
          <m:sSubPr>
            <m:ctrlPr>
              <w:rPr>
                <w:rFonts w:ascii="Cambria Math"/>
                <w:sz w:val="24"/>
                <w:highlight w:val="none"/>
              </w:rPr>
            </m:ctrlPr>
          </m:sSubPr>
          <m:e>
            <m:r>
              <m:rPr/>
              <w:rPr>
                <w:rFonts w:hint="default" w:ascii="Cambria Math" w:hAnsi="Cambria Math"/>
                <w:sz w:val="24"/>
                <w:highlight w:val="none"/>
                <w:lang w:val="en-US" w:eastAsia="zh-CN"/>
              </w:rPr>
              <m:t>U</m:t>
            </m:r>
            <m:ctrlPr>
              <w:rPr>
                <w:rFonts w:ascii="Cambria Math"/>
                <w:sz w:val="24"/>
                <w:highlight w:val="none"/>
              </w:rPr>
            </m:ctrlPr>
          </m:e>
          <m:sub>
            <m:r>
              <m:rPr>
                <m:sty m:val="p"/>
              </m:rPr>
              <w:rPr>
                <w:rFonts w:hint="eastAsia" w:ascii="Cambria Math"/>
                <w:sz w:val="24"/>
                <w:highlight w:val="none"/>
                <w:lang w:val="en-US" w:eastAsia="zh-CN"/>
              </w:rPr>
              <m:t>rel</m:t>
            </m:r>
            <m:ctrlPr>
              <w:rPr>
                <w:rFonts w:ascii="Cambria Math"/>
                <w:sz w:val="24"/>
                <w:highlight w:val="none"/>
              </w:rPr>
            </m:ctrlPr>
          </m:sub>
        </m:sSub>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lang w:val="en-US" w:eastAsia="zh-CN"/>
                  </w:rPr>
                  <m:t>c</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i/>
                <w:kern w:val="24"/>
                <w:sz w:val="24"/>
                <w:highlight w:val="none"/>
              </w:rPr>
            </m:ctrlPr>
          </m:e>
        </m:d>
      </m:oMath>
      <w:r>
        <w:rPr>
          <w:rFonts w:hint="default"/>
          <w:sz w:val="24"/>
          <w:highlight w:val="none"/>
        </w:rPr>
        <w:t>=</w:t>
      </w:r>
      <w:r>
        <w:rPr>
          <w:rFonts w:hint="eastAsia" w:ascii="宋体" w:hAnsi="宋体" w:cs="宋体"/>
          <w:sz w:val="24"/>
          <w:highlight w:val="none"/>
          <w:lang w:val="en-US" w:eastAsia="zh-CN"/>
        </w:rPr>
        <w:t>3.5%</w:t>
      </w:r>
      <w:r>
        <w:rPr>
          <w:rFonts w:hint="eastAsia" w:ascii="宋体" w:hAnsi="宋体" w:cs="宋体"/>
          <w:i/>
          <w:kern w:val="24"/>
          <w:sz w:val="24"/>
          <w:highlight w:val="none"/>
        </w:rPr>
        <w:t xml:space="preserve"> </w:t>
      </w:r>
      <w:r>
        <w:rPr>
          <w:rFonts w:hint="default"/>
          <w:sz w:val="24"/>
          <w:highlight w:val="none"/>
        </w:rPr>
        <w:t>(</w:t>
      </w:r>
      <w:r>
        <w:rPr>
          <w:rFonts w:hint="default"/>
          <w:i/>
          <w:sz w:val="24"/>
          <w:highlight w:val="none"/>
        </w:rPr>
        <w:t>k</w:t>
      </w:r>
      <w:r>
        <w:rPr>
          <w:rFonts w:hint="default"/>
          <w:sz w:val="24"/>
          <w:highlight w:val="none"/>
        </w:rPr>
        <w:t>=</w:t>
      </w:r>
      <w:r>
        <w:rPr>
          <w:rFonts w:hint="eastAsia" w:ascii="宋体" w:hAnsi="宋体" w:cs="宋体"/>
          <w:sz w:val="24"/>
          <w:highlight w:val="none"/>
        </w:rPr>
        <w:t>2</w:t>
      </w:r>
      <w:r>
        <w:rPr>
          <w:rFonts w:hint="default"/>
          <w:sz w:val="24"/>
          <w:highlight w:val="none"/>
        </w:rPr>
        <w:t>)</w:t>
      </w:r>
      <w:r>
        <w:rPr>
          <w:rFonts w:hint="eastAsia" w:ascii="宋体" w:hAnsi="宋体" w:cs="宋体"/>
          <w:sz w:val="24"/>
          <w:highlight w:val="none"/>
        </w:rPr>
        <w:t>。</w:t>
      </w:r>
    </w:p>
    <w:p w14:paraId="385C35E7">
      <w:pPr>
        <w:spacing w:line="360" w:lineRule="auto"/>
        <w:ind w:firstLine="480" w:firstLineChars="200"/>
        <w:rPr>
          <w:sz w:val="24"/>
          <w:highlight w:val="none"/>
        </w:rPr>
      </w:pPr>
      <w:r>
        <w:rPr>
          <w:rFonts w:hint="eastAsia"/>
          <w:sz w:val="24"/>
          <w:highlight w:val="none"/>
        </w:rPr>
        <w:t>其他波长处的</w:t>
      </w:r>
      <w:r>
        <w:rPr>
          <w:rFonts w:hint="eastAsia"/>
          <w:sz w:val="24"/>
          <w:highlight w:val="none"/>
          <w:lang w:val="en-US" w:eastAsia="zh-CN"/>
        </w:rPr>
        <w:t>相对</w:t>
      </w:r>
      <w:r>
        <w:rPr>
          <w:sz w:val="24"/>
          <w:highlight w:val="none"/>
        </w:rPr>
        <w:t>扩展</w:t>
      </w:r>
      <w:r>
        <w:rPr>
          <w:rFonts w:hint="eastAsia"/>
          <w:sz w:val="24"/>
          <w:highlight w:val="none"/>
        </w:rPr>
        <w:t>不确定度同样按上述方法进行评定。</w:t>
      </w:r>
    </w:p>
    <w:p w14:paraId="50FC43F6">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A.</w:t>
      </w:r>
      <w:r>
        <w:rPr>
          <w:rFonts w:hint="eastAsia" w:ascii="宋体" w:hAnsi="宋体" w:cs="宋体"/>
          <w:color w:val="000000"/>
          <w:sz w:val="24"/>
          <w:highlight w:val="none"/>
          <w:lang w:eastAsia="zh-CN"/>
        </w:rPr>
        <w:t>3</w:t>
      </w:r>
      <w:r>
        <w:rPr>
          <w:rFonts w:hint="eastAsia" w:ascii="宋体" w:hAnsi="宋体" w:eastAsia="宋体" w:cs="宋体"/>
          <w:color w:val="000000"/>
          <w:sz w:val="24"/>
          <w:highlight w:val="none"/>
        </w:rPr>
        <w:t xml:space="preserve"> 荧光发射光谱峰值波长的测量不确定度评定</w:t>
      </w:r>
    </w:p>
    <w:p w14:paraId="19D7A9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A.3.1 测量模型</w:t>
      </w:r>
    </w:p>
    <w:p w14:paraId="21D943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    通过在</w:t>
      </w:r>
      <w:r>
        <w:rPr>
          <w:rFonts w:hint="eastAsia" w:ascii="宋体" w:hAnsi="宋体" w:cs="宋体"/>
          <w:bCs/>
          <w:kern w:val="2"/>
          <w:sz w:val="24"/>
          <w:szCs w:val="24"/>
          <w:highlight w:val="none"/>
          <w:lang w:val="en-US" w:eastAsia="zh-CN" w:bidi="ar-SA"/>
        </w:rPr>
        <w:t>被测样品</w:t>
      </w:r>
      <w:r>
        <w:rPr>
          <w:rFonts w:hint="eastAsia" w:ascii="宋体" w:hAnsi="宋体" w:eastAsia="宋体" w:cs="宋体"/>
          <w:bCs/>
          <w:kern w:val="2"/>
          <w:sz w:val="24"/>
          <w:szCs w:val="24"/>
          <w:highlight w:val="none"/>
          <w:lang w:val="en-US" w:eastAsia="zh-CN" w:bidi="ar-SA"/>
        </w:rPr>
        <w:t>荧光相对强度光谱上的最大发射强度对应的波长来确定。</w:t>
      </w:r>
    </w:p>
    <w:p w14:paraId="3B14A82B">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val="en-US" w:eastAsia="zh-CN"/>
        </w:rPr>
        <w:t>3</w:t>
      </w:r>
      <w:r>
        <w:rPr>
          <w:rFonts w:hint="eastAsia" w:ascii="宋体" w:hAnsi="宋体" w:eastAsia="宋体" w:cs="宋体"/>
          <w:sz w:val="24"/>
          <w:highlight w:val="none"/>
        </w:rPr>
        <w:t xml:space="preserve">.2 </w:t>
      </w:r>
      <w:r>
        <w:rPr>
          <w:rFonts w:hint="eastAsia" w:ascii="宋体" w:hAnsi="宋体" w:eastAsia="宋体" w:cs="宋体"/>
          <w:bCs/>
          <w:sz w:val="24"/>
          <w:highlight w:val="none"/>
        </w:rPr>
        <w:t>测量不确定度来源</w:t>
      </w:r>
    </w:p>
    <w:p w14:paraId="3DE68593">
      <w:pPr>
        <w:spacing w:line="360" w:lineRule="auto"/>
        <w:ind w:firstLine="480" w:firstLineChars="200"/>
        <w:rPr>
          <w:sz w:val="24"/>
          <w:highlight w:val="none"/>
        </w:rPr>
      </w:pPr>
      <w:r>
        <w:rPr>
          <w:sz w:val="24"/>
          <w:highlight w:val="none"/>
        </w:rPr>
        <w:t>根据上述</w:t>
      </w:r>
      <w:r>
        <w:rPr>
          <w:rFonts w:hint="eastAsia"/>
          <w:sz w:val="24"/>
          <w:highlight w:val="none"/>
        </w:rPr>
        <w:t>测量模型</w:t>
      </w:r>
      <w:r>
        <w:rPr>
          <w:sz w:val="24"/>
          <w:highlight w:val="none"/>
        </w:rPr>
        <w:t>，</w:t>
      </w:r>
      <w:r>
        <w:rPr>
          <w:rFonts w:hint="eastAsia"/>
          <w:sz w:val="24"/>
          <w:highlight w:val="none"/>
          <w:lang w:val="en-US" w:eastAsia="zh-CN"/>
        </w:rPr>
        <w:t>以罗丹明6G（R6G）溶液的测量为例，</w:t>
      </w:r>
      <w:r>
        <w:rPr>
          <w:sz w:val="24"/>
          <w:highlight w:val="none"/>
        </w:rPr>
        <w:t>测量不确定度来源主要包括以下几个方面：</w:t>
      </w:r>
    </w:p>
    <w:p w14:paraId="48734146">
      <w:pPr>
        <w:spacing w:line="360" w:lineRule="auto"/>
        <w:rPr>
          <w:sz w:val="24"/>
          <w:highlight w:val="none"/>
        </w:rPr>
      </w:pPr>
      <w:r>
        <w:rPr>
          <w:rFonts w:hint="eastAsia" w:ascii="宋体" w:hAnsi="宋体" w:cs="宋体"/>
          <w:sz w:val="24"/>
          <w:highlight w:val="none"/>
        </w:rPr>
        <w:t>（1）</w:t>
      </w:r>
      <w:r>
        <w:rPr>
          <w:sz w:val="24"/>
          <w:highlight w:val="none"/>
        </w:rPr>
        <w:t>测量重复性引入的标准不确定度</w:t>
      </w:r>
      <w:r>
        <w:rPr>
          <w:i/>
          <w:sz w:val="24"/>
          <w:highlight w:val="none"/>
        </w:rPr>
        <w:t>u</w:t>
      </w:r>
      <w:r>
        <w:rPr>
          <w:sz w:val="24"/>
          <w:highlight w:val="none"/>
          <w:vertAlign w:val="subscript"/>
        </w:rPr>
        <w:t>1</w:t>
      </w:r>
      <w:r>
        <w:rPr>
          <w:sz w:val="24"/>
          <w:highlight w:val="none"/>
        </w:rPr>
        <w:t>(</w:t>
      </w:r>
      <w:r>
        <w:rPr>
          <w:i/>
          <w:iCs/>
          <w:sz w:val="24"/>
          <w:highlight w:val="none"/>
        </w:rPr>
        <w:t>λ</w:t>
      </w:r>
      <w:r>
        <w:rPr>
          <w:sz w:val="24"/>
          <w:highlight w:val="none"/>
        </w:rPr>
        <w:t>)</w:t>
      </w:r>
    </w:p>
    <w:p w14:paraId="1F864FB4">
      <w:pPr>
        <w:spacing w:line="360" w:lineRule="auto"/>
        <w:ind w:firstLine="480" w:firstLineChars="200"/>
        <w:rPr>
          <w:sz w:val="24"/>
          <w:highlight w:val="none"/>
        </w:rPr>
      </w:pPr>
      <w:r>
        <w:rPr>
          <w:sz w:val="24"/>
          <w:highlight w:val="none"/>
        </w:rPr>
        <w:t>由</w:t>
      </w:r>
      <w:r>
        <w:rPr>
          <w:rFonts w:hint="eastAsia"/>
          <w:sz w:val="24"/>
          <w:highlight w:val="none"/>
        </w:rPr>
        <w:t>氙</w:t>
      </w:r>
      <w:r>
        <w:rPr>
          <w:sz w:val="24"/>
          <w:highlight w:val="none"/>
        </w:rPr>
        <w:t>灯波长的波动、PMT探测噪声等因素引入的不确定度，通过多次重复测量计算的</w:t>
      </w:r>
      <w:r>
        <w:rPr>
          <w:rFonts w:hint="eastAsia"/>
          <w:sz w:val="24"/>
          <w:highlight w:val="none"/>
        </w:rPr>
        <w:t>实验标准差</w:t>
      </w:r>
      <w:r>
        <w:rPr>
          <w:sz w:val="24"/>
          <w:highlight w:val="none"/>
        </w:rPr>
        <w:t>除以</w:t>
      </w:r>
      <m:oMath>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rPr>
              <m:t>n</m:t>
            </m:r>
            <m:ctrlPr>
              <w:rPr>
                <w:rFonts w:hint="default" w:ascii="Cambria Math" w:hAnsi="Cambria Math"/>
                <w:i/>
                <w:sz w:val="24"/>
                <w:highlight w:val="none"/>
              </w:rPr>
            </m:ctrlPr>
          </m:e>
        </m:rad>
      </m:oMath>
      <w:r>
        <w:rPr>
          <w:sz w:val="24"/>
          <w:highlight w:val="none"/>
        </w:rPr>
        <w:t>（</w:t>
      </w:r>
      <w:r>
        <w:rPr>
          <w:i/>
          <w:iCs/>
          <w:sz w:val="24"/>
          <w:highlight w:val="none"/>
        </w:rPr>
        <w:t>n</w:t>
      </w:r>
      <w:r>
        <w:rPr>
          <w:sz w:val="24"/>
          <w:highlight w:val="none"/>
        </w:rPr>
        <w:t>为重复测量次数）作为该不确定度分量。</w:t>
      </w:r>
    </w:p>
    <w:p w14:paraId="125A749F">
      <w:pPr>
        <w:spacing w:line="360" w:lineRule="auto"/>
        <w:rPr>
          <w:sz w:val="24"/>
          <w:highlight w:val="none"/>
          <w:vertAlign w:val="subscript"/>
        </w:rPr>
      </w:pPr>
      <w:r>
        <w:rPr>
          <w:rFonts w:hint="eastAsia" w:ascii="宋体" w:hAnsi="宋体" w:cs="宋体"/>
          <w:sz w:val="24"/>
          <w:highlight w:val="none"/>
        </w:rPr>
        <w:t>（2）</w:t>
      </w:r>
      <w:r>
        <w:rPr>
          <w:rFonts w:hint="eastAsia"/>
          <w:sz w:val="24"/>
          <w:highlight w:val="none"/>
          <w:lang w:eastAsia="zh-CN"/>
        </w:rPr>
        <w:t>汞氩灯</w:t>
      </w:r>
      <w:r>
        <w:rPr>
          <w:sz w:val="24"/>
          <w:highlight w:val="none"/>
        </w:rPr>
        <w:t>引入的标准不确定度</w:t>
      </w:r>
      <w:r>
        <w:rPr>
          <w:i/>
          <w:sz w:val="24"/>
          <w:highlight w:val="none"/>
        </w:rPr>
        <w:t>u</w:t>
      </w:r>
      <w:r>
        <w:rPr>
          <w:sz w:val="24"/>
          <w:highlight w:val="none"/>
          <w:vertAlign w:val="subscript"/>
        </w:rPr>
        <w:t>2</w:t>
      </w:r>
      <w:r>
        <w:rPr>
          <w:sz w:val="24"/>
          <w:highlight w:val="none"/>
        </w:rPr>
        <w:t>(</w:t>
      </w:r>
      <w:r>
        <w:rPr>
          <w:i/>
          <w:iCs/>
          <w:sz w:val="24"/>
          <w:highlight w:val="none"/>
        </w:rPr>
        <w:t>λ</w:t>
      </w:r>
      <w:r>
        <w:rPr>
          <w:sz w:val="24"/>
          <w:highlight w:val="none"/>
        </w:rPr>
        <w:t>)</w:t>
      </w:r>
    </w:p>
    <w:p w14:paraId="0AB192D5">
      <w:pPr>
        <w:autoSpaceDE w:val="0"/>
        <w:autoSpaceDN w:val="0"/>
        <w:adjustRightInd w:val="0"/>
        <w:spacing w:line="360" w:lineRule="auto"/>
        <w:ind w:firstLine="480" w:firstLineChars="200"/>
        <w:rPr>
          <w:sz w:val="24"/>
          <w:highlight w:val="none"/>
        </w:rPr>
      </w:pPr>
      <w:r>
        <w:rPr>
          <w:rFonts w:hint="eastAsia"/>
          <w:sz w:val="24"/>
          <w:highlight w:val="none"/>
        </w:rPr>
        <w:t>校准证书</w:t>
      </w:r>
      <w:r>
        <w:rPr>
          <w:sz w:val="24"/>
          <w:highlight w:val="none"/>
        </w:rPr>
        <w:t>中给出的汞氩灯</w:t>
      </w:r>
      <w:r>
        <w:rPr>
          <w:rFonts w:hint="eastAsia" w:ascii="宋体" w:hAnsi="宋体" w:cs="宋体"/>
          <w:sz w:val="24"/>
          <w:highlight w:val="none"/>
        </w:rPr>
        <w:t xml:space="preserve">365.02 </w:t>
      </w:r>
      <w:r>
        <w:rPr>
          <w:sz w:val="24"/>
          <w:highlight w:val="none"/>
        </w:rPr>
        <w:t>nm特征峰波长的扩展不确定度为</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rFonts w:hint="eastAsia"/>
          <w:sz w:val="24"/>
          <w:highlight w:val="none"/>
          <w:lang w:eastAsia="zh-CN"/>
        </w:rPr>
        <w:t>nm (</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17842DDE">
      <w:pPr>
        <w:spacing w:line="360" w:lineRule="auto"/>
        <w:rPr>
          <w:sz w:val="24"/>
          <w:highlight w:val="none"/>
        </w:rPr>
      </w:pPr>
      <w:r>
        <w:rPr>
          <w:rFonts w:hint="eastAsia" w:ascii="宋体" w:hAnsi="宋体" w:cs="宋体"/>
          <w:sz w:val="24"/>
          <w:highlight w:val="none"/>
        </w:rPr>
        <w:t>（3）</w:t>
      </w:r>
      <w:r>
        <w:rPr>
          <w:sz w:val="24"/>
          <w:highlight w:val="none"/>
        </w:rPr>
        <w:t>环境温度的影响</w:t>
      </w:r>
    </w:p>
    <w:p w14:paraId="4F435416">
      <w:pPr>
        <w:spacing w:line="360" w:lineRule="auto"/>
        <w:ind w:firstLine="480" w:firstLineChars="200"/>
        <w:rPr>
          <w:sz w:val="24"/>
          <w:highlight w:val="none"/>
        </w:rPr>
      </w:pPr>
      <w:r>
        <w:rPr>
          <w:sz w:val="24"/>
          <w:highlight w:val="none"/>
        </w:rPr>
        <w:t>本规范规定的校准环境的温度条件为</w:t>
      </w:r>
      <w:r>
        <w:rPr>
          <w:rFonts w:hint="eastAsia"/>
          <w:sz w:val="24"/>
          <w:highlight w:val="none"/>
          <w:lang w:eastAsia="zh-CN"/>
        </w:rPr>
        <w:t>（</w:t>
      </w:r>
      <w:r>
        <w:rPr>
          <w:rFonts w:hint="eastAsia" w:ascii="宋体" w:hAnsi="宋体" w:eastAsia="宋体" w:cs="宋体"/>
          <w:sz w:val="24"/>
          <w:highlight w:val="none"/>
          <w:lang w:eastAsia="zh-CN"/>
        </w:rPr>
        <w:t>1</w:t>
      </w:r>
      <w:r>
        <w:rPr>
          <w:rFonts w:hint="eastAsia" w:ascii="宋体" w:hAnsi="宋体" w:cs="宋体"/>
          <w:sz w:val="24"/>
          <w:highlight w:val="none"/>
          <w:lang w:val="en-US" w:eastAsia="zh-CN"/>
        </w:rPr>
        <w:t>8</w:t>
      </w:r>
      <w:r>
        <w:rPr>
          <w:rFonts w:hint="eastAsia"/>
          <w:sz w:val="24"/>
          <w:highlight w:val="none"/>
          <w:lang w:val="en-US" w:eastAsia="zh-CN"/>
        </w:rPr>
        <w:t>~28</w:t>
      </w:r>
      <w:r>
        <w:rPr>
          <w:rFonts w:hint="eastAsia"/>
          <w:sz w:val="24"/>
          <w:highlight w:val="none"/>
          <w:lang w:eastAsia="zh-CN"/>
        </w:rPr>
        <w:t>）</w:t>
      </w:r>
      <w:r>
        <w:rPr>
          <w:rFonts w:hint="eastAsia"/>
          <w:sz w:val="24"/>
          <w:highlight w:val="none"/>
        </w:rPr>
        <w:t>℃</w:t>
      </w:r>
      <w:r>
        <w:rPr>
          <w:sz w:val="24"/>
          <w:highlight w:val="none"/>
        </w:rPr>
        <w:t>，在此范围内</w:t>
      </w:r>
      <w:r>
        <w:rPr>
          <w:rFonts w:hint="eastAsia"/>
          <w:sz w:val="24"/>
          <w:highlight w:val="none"/>
        </w:rPr>
        <w:t>，</w:t>
      </w:r>
      <w:r>
        <w:rPr>
          <w:sz w:val="24"/>
          <w:highlight w:val="none"/>
        </w:rPr>
        <w:t>温度的波动对测量结果影响较小，因此可不予考虑。</w:t>
      </w:r>
    </w:p>
    <w:p w14:paraId="795DC4F6">
      <w:pPr>
        <w:pStyle w:val="8"/>
        <w:spacing w:line="360" w:lineRule="auto"/>
        <w:ind w:left="0" w:leftChars="0"/>
        <w:rPr>
          <w:rFonts w:hint="eastAsia" w:ascii="宋体" w:hAnsi="宋体" w:eastAsia="宋体" w:cs="宋体"/>
          <w:bCs/>
          <w:sz w:val="24"/>
          <w:highlight w:val="none"/>
        </w:rPr>
      </w:pPr>
      <w:r>
        <w:rPr>
          <w:rFonts w:hint="eastAsia" w:ascii="宋体" w:hAnsi="宋体" w:eastAsia="宋体" w:cs="宋体"/>
          <w:sz w:val="24"/>
          <w:highlight w:val="none"/>
        </w:rPr>
        <w:t>A.</w:t>
      </w:r>
      <w:r>
        <w:rPr>
          <w:rFonts w:hint="eastAsia" w:ascii="宋体" w:hAnsi="宋体" w:cs="宋体"/>
          <w:sz w:val="24"/>
          <w:highlight w:val="none"/>
          <w:lang w:eastAsia="zh-CN"/>
        </w:rPr>
        <w:t>3</w:t>
      </w:r>
      <w:r>
        <w:rPr>
          <w:rFonts w:hint="eastAsia" w:ascii="宋体" w:hAnsi="宋体" w:eastAsia="宋体" w:cs="宋体"/>
          <w:sz w:val="24"/>
          <w:highlight w:val="none"/>
        </w:rPr>
        <w:t>.3</w:t>
      </w:r>
      <w:r>
        <w:rPr>
          <w:rFonts w:hint="eastAsia" w:ascii="宋体" w:hAnsi="宋体" w:eastAsia="宋体" w:cs="宋体"/>
          <w:bCs/>
          <w:sz w:val="24"/>
          <w:highlight w:val="none"/>
        </w:rPr>
        <w:t xml:space="preserve"> 测量不确定度评定</w:t>
      </w:r>
    </w:p>
    <w:p w14:paraId="4C089A85">
      <w:pPr>
        <w:spacing w:line="360" w:lineRule="auto"/>
        <w:rPr>
          <w:sz w:val="24"/>
          <w:highlight w:val="none"/>
        </w:rPr>
      </w:pPr>
      <w:r>
        <w:rPr>
          <w:rFonts w:hint="eastAsia" w:ascii="宋体" w:hAnsi="宋体" w:cs="宋体"/>
          <w:sz w:val="24"/>
          <w:highlight w:val="none"/>
        </w:rPr>
        <w:t>（1）</w:t>
      </w:r>
      <w:r>
        <w:rPr>
          <w:sz w:val="24"/>
          <w:highlight w:val="none"/>
        </w:rPr>
        <w:t>测量重复性引入的标准不确定度</w:t>
      </w:r>
      <w:r>
        <w:rPr>
          <w:i/>
          <w:sz w:val="24"/>
          <w:highlight w:val="none"/>
        </w:rPr>
        <w:t>u</w:t>
      </w:r>
      <w:r>
        <w:rPr>
          <w:sz w:val="24"/>
          <w:highlight w:val="none"/>
          <w:vertAlign w:val="subscript"/>
        </w:rPr>
        <w:t>1</w:t>
      </w:r>
      <w:r>
        <w:rPr>
          <w:sz w:val="24"/>
          <w:highlight w:val="none"/>
        </w:rPr>
        <w:t>(</w:t>
      </w:r>
      <w:r>
        <w:rPr>
          <w:i/>
          <w:iCs/>
          <w:sz w:val="24"/>
          <w:highlight w:val="none"/>
        </w:rPr>
        <w:t>λ</w:t>
      </w:r>
      <w:r>
        <w:rPr>
          <w:sz w:val="24"/>
          <w:highlight w:val="none"/>
        </w:rPr>
        <w:t>)</w:t>
      </w:r>
    </w:p>
    <w:p w14:paraId="6E723B5F">
      <w:pPr>
        <w:spacing w:line="360" w:lineRule="auto"/>
        <w:ind w:firstLine="480" w:firstLineChars="200"/>
        <w:rPr>
          <w:sz w:val="24"/>
          <w:highlight w:val="none"/>
        </w:rPr>
      </w:pPr>
      <w:r>
        <w:rPr>
          <w:sz w:val="24"/>
          <w:highlight w:val="none"/>
        </w:rPr>
        <w:t>重复测量</w:t>
      </w:r>
      <w:r>
        <w:rPr>
          <w:rFonts w:hint="eastAsia" w:ascii="宋体" w:hAnsi="宋体" w:cs="宋体"/>
          <w:sz w:val="24"/>
          <w:highlight w:val="none"/>
          <w:lang w:val="en-US" w:eastAsia="zh-CN"/>
        </w:rPr>
        <w:t>5</w:t>
      </w:r>
      <w:r>
        <w:rPr>
          <w:sz w:val="24"/>
          <w:highlight w:val="none"/>
        </w:rPr>
        <w:t>次，</w:t>
      </w:r>
      <w:r>
        <w:rPr>
          <w:rFonts w:hint="eastAsia" w:ascii="宋体" w:hAnsi="宋体" w:eastAsia="宋体" w:cs="宋体"/>
          <w:color w:val="000000"/>
          <w:sz w:val="24"/>
          <w:highlight w:val="none"/>
        </w:rPr>
        <w:t>最大发射强度对应波长的</w:t>
      </w:r>
      <w:r>
        <w:rPr>
          <w:sz w:val="24"/>
          <w:highlight w:val="none"/>
        </w:rPr>
        <w:t>测量结果如下：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
        <w:gridCol w:w="846"/>
        <w:gridCol w:w="846"/>
        <w:gridCol w:w="846"/>
        <w:gridCol w:w="1173"/>
        <w:gridCol w:w="1593"/>
      </w:tblGrid>
      <w:tr w14:paraId="70E6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2" w:hRule="atLeast"/>
          <w:jc w:val="center"/>
        </w:trPr>
        <w:tc>
          <w:tcPr>
            <w:tcW w:w="4230" w:type="dxa"/>
            <w:gridSpan w:val="5"/>
            <w:vAlign w:val="center"/>
          </w:tcPr>
          <w:p w14:paraId="5E9AB114">
            <w:pPr>
              <w:adjustRightInd w:val="0"/>
              <w:snapToGrid w:val="0"/>
              <w:jc w:val="center"/>
              <w:rPr>
                <w:rFonts w:hint="default" w:eastAsia="宋体"/>
                <w:sz w:val="21"/>
                <w:szCs w:val="21"/>
                <w:highlight w:val="none"/>
                <w:lang w:val="en-US" w:eastAsia="zh-CN"/>
              </w:rPr>
            </w:pPr>
            <w:r>
              <w:rPr>
                <w:sz w:val="21"/>
                <w:szCs w:val="21"/>
                <w:highlight w:val="none"/>
              </w:rPr>
              <w:t>测量值</w:t>
            </w:r>
            <w:r>
              <w:rPr>
                <w:rFonts w:hint="eastAsia"/>
                <w:sz w:val="21"/>
                <w:szCs w:val="21"/>
                <w:highlight w:val="none"/>
                <w:lang w:val="en-US" w:eastAsia="zh-CN"/>
              </w:rPr>
              <w:t>/nm</w:t>
            </w:r>
          </w:p>
        </w:tc>
        <w:tc>
          <w:tcPr>
            <w:tcW w:w="1173" w:type="dxa"/>
            <w:vMerge w:val="restart"/>
            <w:vAlign w:val="center"/>
          </w:tcPr>
          <w:p w14:paraId="5738F925">
            <w:pPr>
              <w:adjustRightInd w:val="0"/>
              <w:snapToGrid w:val="0"/>
              <w:jc w:val="center"/>
              <w:rPr>
                <w:rFonts w:hint="default" w:eastAsia="宋体"/>
                <w:sz w:val="21"/>
                <w:szCs w:val="21"/>
                <w:highlight w:val="none"/>
                <w:lang w:val="en-US" w:eastAsia="zh-CN"/>
              </w:rPr>
            </w:pPr>
            <w:r>
              <w:rPr>
                <w:sz w:val="21"/>
                <w:szCs w:val="21"/>
                <w:highlight w:val="none"/>
              </w:rPr>
              <w:t>平均值</w:t>
            </w:r>
            <w:r>
              <w:rPr>
                <w:rFonts w:hint="eastAsia"/>
                <w:sz w:val="21"/>
                <w:szCs w:val="21"/>
                <w:highlight w:val="none"/>
                <w:lang w:val="en-US" w:eastAsia="zh-CN"/>
              </w:rPr>
              <w:t>/nm</w:t>
            </w:r>
          </w:p>
        </w:tc>
        <w:tc>
          <w:tcPr>
            <w:tcW w:w="1593" w:type="dxa"/>
            <w:vMerge w:val="restart"/>
            <w:vAlign w:val="center"/>
          </w:tcPr>
          <w:p w14:paraId="3BF921BE">
            <w:pPr>
              <w:adjustRightInd w:val="0"/>
              <w:snapToGrid w:val="0"/>
              <w:jc w:val="center"/>
              <w:rPr>
                <w:sz w:val="21"/>
                <w:szCs w:val="21"/>
                <w:highlight w:val="none"/>
              </w:rPr>
            </w:pPr>
            <w:r>
              <w:rPr>
                <w:rFonts w:hint="eastAsia"/>
                <w:sz w:val="21"/>
                <w:szCs w:val="21"/>
                <w:highlight w:val="none"/>
              </w:rPr>
              <w:t>实验标准差</w:t>
            </w:r>
            <w:r>
              <w:rPr>
                <w:rFonts w:hint="eastAsia"/>
                <w:sz w:val="21"/>
                <w:szCs w:val="21"/>
                <w:highlight w:val="none"/>
                <w:lang w:val="en-US" w:eastAsia="zh-CN"/>
              </w:rPr>
              <w:t>/nm</w:t>
            </w:r>
          </w:p>
        </w:tc>
      </w:tr>
      <w:tr w14:paraId="53FF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vAlign w:val="center"/>
          </w:tcPr>
          <w:p w14:paraId="66D036FF">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1</w:t>
            </w:r>
          </w:p>
        </w:tc>
        <w:tc>
          <w:tcPr>
            <w:tcW w:w="0" w:type="auto"/>
            <w:vAlign w:val="center"/>
          </w:tcPr>
          <w:p w14:paraId="5BF79EE8">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2</w:t>
            </w:r>
          </w:p>
        </w:tc>
        <w:tc>
          <w:tcPr>
            <w:tcW w:w="0" w:type="auto"/>
            <w:vAlign w:val="center"/>
          </w:tcPr>
          <w:p w14:paraId="4DC3B0EA">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3</w:t>
            </w:r>
          </w:p>
        </w:tc>
        <w:tc>
          <w:tcPr>
            <w:tcW w:w="0" w:type="auto"/>
            <w:vAlign w:val="center"/>
          </w:tcPr>
          <w:p w14:paraId="04A856C1">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4</w:t>
            </w:r>
          </w:p>
        </w:tc>
        <w:tc>
          <w:tcPr>
            <w:tcW w:w="846" w:type="dxa"/>
            <w:vAlign w:val="center"/>
          </w:tcPr>
          <w:p w14:paraId="3E387629">
            <w:pPr>
              <w:adjustRightInd w:val="0"/>
              <w:snapToGrid w:val="0"/>
              <w:jc w:val="center"/>
              <w:rPr>
                <w:rFonts w:hint="eastAsia" w:ascii="宋体" w:hAnsi="宋体" w:cs="宋体"/>
                <w:sz w:val="21"/>
                <w:szCs w:val="21"/>
                <w:highlight w:val="none"/>
              </w:rPr>
            </w:pPr>
            <w:r>
              <w:rPr>
                <w:rFonts w:hint="eastAsia" w:ascii="宋体" w:hAnsi="宋体" w:cs="宋体"/>
                <w:sz w:val="21"/>
                <w:szCs w:val="21"/>
                <w:highlight w:val="none"/>
              </w:rPr>
              <w:t>5</w:t>
            </w:r>
          </w:p>
        </w:tc>
        <w:tc>
          <w:tcPr>
            <w:tcW w:w="1173" w:type="dxa"/>
            <w:vMerge w:val="continue"/>
            <w:vAlign w:val="center"/>
          </w:tcPr>
          <w:p w14:paraId="7BF987F7">
            <w:pPr>
              <w:adjustRightInd w:val="0"/>
              <w:snapToGrid w:val="0"/>
              <w:jc w:val="center"/>
              <w:rPr>
                <w:rFonts w:hint="eastAsia" w:ascii="宋体" w:hAnsi="宋体" w:cs="宋体"/>
                <w:sz w:val="21"/>
                <w:szCs w:val="21"/>
                <w:highlight w:val="none"/>
              </w:rPr>
            </w:pPr>
          </w:p>
        </w:tc>
        <w:tc>
          <w:tcPr>
            <w:tcW w:w="1593" w:type="dxa"/>
            <w:vMerge w:val="continue"/>
            <w:vAlign w:val="center"/>
          </w:tcPr>
          <w:p w14:paraId="627B735B">
            <w:pPr>
              <w:adjustRightInd w:val="0"/>
              <w:snapToGrid w:val="0"/>
              <w:jc w:val="center"/>
              <w:rPr>
                <w:rFonts w:hint="eastAsia" w:ascii="宋体" w:hAnsi="宋体" w:cs="宋体"/>
                <w:sz w:val="21"/>
                <w:szCs w:val="21"/>
                <w:highlight w:val="none"/>
              </w:rPr>
            </w:pPr>
          </w:p>
        </w:tc>
      </w:tr>
      <w:tr w14:paraId="32B3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vAlign w:val="center"/>
          </w:tcPr>
          <w:p w14:paraId="24B642DB">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558</w:t>
            </w:r>
            <w:r>
              <w:rPr>
                <w:rFonts w:hint="eastAsia" w:ascii="宋体" w:hAnsi="宋体" w:cs="宋体"/>
                <w:i w:val="0"/>
                <w:iCs w:val="0"/>
                <w:color w:val="auto"/>
                <w:kern w:val="2"/>
                <w:sz w:val="21"/>
                <w:szCs w:val="21"/>
                <w:highlight w:val="none"/>
                <w:u w:val="none"/>
                <w:lang w:val="en-US" w:eastAsia="zh-CN" w:bidi="ar"/>
              </w:rPr>
              <w:t>.00</w:t>
            </w:r>
          </w:p>
        </w:tc>
        <w:tc>
          <w:tcPr>
            <w:tcW w:w="0" w:type="auto"/>
            <w:vAlign w:val="center"/>
          </w:tcPr>
          <w:p w14:paraId="54429AD6">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555</w:t>
            </w:r>
            <w:r>
              <w:rPr>
                <w:rFonts w:hint="eastAsia" w:ascii="宋体" w:hAnsi="宋体" w:cs="宋体"/>
                <w:i w:val="0"/>
                <w:iCs w:val="0"/>
                <w:color w:val="auto"/>
                <w:kern w:val="2"/>
                <w:sz w:val="21"/>
                <w:szCs w:val="21"/>
                <w:highlight w:val="none"/>
                <w:u w:val="none"/>
                <w:lang w:val="en-US" w:eastAsia="zh-CN" w:bidi="ar"/>
              </w:rPr>
              <w:t>.00</w:t>
            </w:r>
          </w:p>
        </w:tc>
        <w:tc>
          <w:tcPr>
            <w:tcW w:w="0" w:type="auto"/>
            <w:vAlign w:val="center"/>
          </w:tcPr>
          <w:p w14:paraId="03D781DF">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556</w:t>
            </w:r>
            <w:r>
              <w:rPr>
                <w:rFonts w:hint="eastAsia" w:ascii="宋体" w:hAnsi="宋体" w:cs="宋体"/>
                <w:i w:val="0"/>
                <w:iCs w:val="0"/>
                <w:color w:val="auto"/>
                <w:kern w:val="2"/>
                <w:sz w:val="21"/>
                <w:szCs w:val="21"/>
                <w:highlight w:val="none"/>
                <w:u w:val="none"/>
                <w:lang w:val="en-US" w:eastAsia="zh-CN" w:bidi="ar"/>
              </w:rPr>
              <w:t>.00</w:t>
            </w:r>
          </w:p>
        </w:tc>
        <w:tc>
          <w:tcPr>
            <w:tcW w:w="0" w:type="auto"/>
            <w:vAlign w:val="center"/>
          </w:tcPr>
          <w:p w14:paraId="7F32997F">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556</w:t>
            </w:r>
            <w:r>
              <w:rPr>
                <w:rFonts w:hint="eastAsia" w:ascii="宋体" w:hAnsi="宋体" w:cs="宋体"/>
                <w:i w:val="0"/>
                <w:iCs w:val="0"/>
                <w:color w:val="auto"/>
                <w:kern w:val="2"/>
                <w:sz w:val="21"/>
                <w:szCs w:val="21"/>
                <w:highlight w:val="none"/>
                <w:u w:val="none"/>
                <w:lang w:val="en-US" w:eastAsia="zh-CN" w:bidi="ar"/>
              </w:rPr>
              <w:t>.00</w:t>
            </w:r>
          </w:p>
        </w:tc>
        <w:tc>
          <w:tcPr>
            <w:tcW w:w="846" w:type="dxa"/>
            <w:vAlign w:val="center"/>
          </w:tcPr>
          <w:p w14:paraId="12F08614">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555</w:t>
            </w:r>
            <w:r>
              <w:rPr>
                <w:rFonts w:hint="eastAsia" w:ascii="宋体" w:hAnsi="宋体" w:cs="宋体"/>
                <w:i w:val="0"/>
                <w:iCs w:val="0"/>
                <w:color w:val="auto"/>
                <w:kern w:val="2"/>
                <w:sz w:val="21"/>
                <w:szCs w:val="21"/>
                <w:highlight w:val="none"/>
                <w:u w:val="none"/>
                <w:lang w:val="en-US" w:eastAsia="zh-CN" w:bidi="ar"/>
              </w:rPr>
              <w:t>.00</w:t>
            </w:r>
          </w:p>
        </w:tc>
        <w:tc>
          <w:tcPr>
            <w:tcW w:w="1173" w:type="dxa"/>
            <w:vAlign w:val="center"/>
          </w:tcPr>
          <w:p w14:paraId="1540CB5E">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rPr>
            </w:pPr>
            <w:r>
              <w:rPr>
                <w:rFonts w:hint="eastAsia" w:ascii="宋体" w:hAnsi="宋体" w:eastAsia="宋体" w:cs="宋体"/>
                <w:i w:val="0"/>
                <w:iCs w:val="0"/>
                <w:color w:val="auto"/>
                <w:kern w:val="2"/>
                <w:sz w:val="21"/>
                <w:szCs w:val="21"/>
                <w:highlight w:val="none"/>
                <w:u w:val="none"/>
                <w:lang w:val="en-US" w:eastAsia="zh-CN" w:bidi="ar"/>
              </w:rPr>
              <w:t>556</w:t>
            </w:r>
            <w:r>
              <w:rPr>
                <w:rFonts w:hint="eastAsia" w:ascii="宋体" w:hAnsi="宋体" w:cs="宋体"/>
                <w:i w:val="0"/>
                <w:iCs w:val="0"/>
                <w:color w:val="auto"/>
                <w:kern w:val="2"/>
                <w:sz w:val="21"/>
                <w:szCs w:val="21"/>
                <w:highlight w:val="none"/>
                <w:u w:val="none"/>
                <w:lang w:val="en-US" w:eastAsia="zh-CN" w:bidi="ar"/>
              </w:rPr>
              <w:t>.00</w:t>
            </w:r>
          </w:p>
        </w:tc>
        <w:tc>
          <w:tcPr>
            <w:tcW w:w="1593" w:type="dxa"/>
            <w:vAlign w:val="center"/>
          </w:tcPr>
          <w:p w14:paraId="45468F27">
            <w:pPr>
              <w:keepNext w:val="0"/>
              <w:keepLines w:val="0"/>
              <w:widowControl/>
              <w:suppressLineNumbers w:val="0"/>
              <w:adjustRightInd w:val="0"/>
              <w:snapToGrid w:val="0"/>
              <w:jc w:val="center"/>
              <w:textAlignment w:val="auto"/>
              <w:rPr>
                <w:rFonts w:hint="default" w:ascii="宋体" w:hAnsi="宋体" w:cs="宋体"/>
                <w:sz w:val="21"/>
                <w:szCs w:val="21"/>
                <w:highlight w:val="none"/>
                <w:lang w:val="en-US" w:bidi="ar"/>
              </w:rPr>
            </w:pPr>
            <w:r>
              <w:rPr>
                <w:rFonts w:hint="eastAsia" w:ascii="宋体" w:hAnsi="宋体" w:eastAsia="宋体" w:cs="宋体"/>
                <w:i w:val="0"/>
                <w:iCs w:val="0"/>
                <w:color w:val="auto"/>
                <w:kern w:val="2"/>
                <w:sz w:val="21"/>
                <w:szCs w:val="21"/>
                <w:highlight w:val="none"/>
                <w:u w:val="none"/>
                <w:lang w:val="en-US" w:eastAsia="zh-CN" w:bidi="ar"/>
              </w:rPr>
              <w:t>1.22</w:t>
            </w:r>
          </w:p>
        </w:tc>
      </w:tr>
    </w:tbl>
    <w:p w14:paraId="2E536989">
      <w:pPr>
        <w:spacing w:line="360" w:lineRule="auto"/>
        <w:rPr>
          <w:sz w:val="24"/>
          <w:highlight w:val="none"/>
        </w:rPr>
      </w:pPr>
    </w:p>
    <w:p w14:paraId="319EBABD">
      <w:pPr>
        <w:spacing w:line="360" w:lineRule="auto"/>
        <w:ind w:firstLine="480" w:firstLineChars="200"/>
        <w:rPr>
          <w:sz w:val="24"/>
          <w:highlight w:val="none"/>
        </w:rPr>
      </w:pPr>
      <w:r>
        <w:rPr>
          <w:sz w:val="24"/>
          <w:highlight w:val="none"/>
        </w:rPr>
        <w:t>测量结果的</w:t>
      </w:r>
      <w:r>
        <w:rPr>
          <w:rFonts w:hint="eastAsia"/>
          <w:sz w:val="24"/>
          <w:highlight w:val="none"/>
        </w:rPr>
        <w:t>实验标准差</w:t>
      </w:r>
      <w:r>
        <w:rPr>
          <w:sz w:val="24"/>
          <w:highlight w:val="none"/>
        </w:rPr>
        <w:t>为</w:t>
      </w:r>
      <w:r>
        <w:rPr>
          <w:rFonts w:hint="eastAsia" w:ascii="宋体" w:hAnsi="宋体" w:cs="宋体"/>
          <w:sz w:val="24"/>
          <w:highlight w:val="none"/>
          <w:lang w:val="en-US" w:eastAsia="zh-CN"/>
        </w:rPr>
        <w:t>1.22</w:t>
      </w:r>
      <w:r>
        <w:rPr>
          <w:rFonts w:hint="eastAsia" w:ascii="宋体" w:hAnsi="宋体" w:cs="宋体"/>
          <w:sz w:val="24"/>
          <w:highlight w:val="none"/>
        </w:rPr>
        <w:t xml:space="preserve"> </w:t>
      </w:r>
      <w:r>
        <w:rPr>
          <w:sz w:val="24"/>
          <w:highlight w:val="none"/>
        </w:rPr>
        <w:t>nm，则重复测量引入的标准不确定度为：</w:t>
      </w:r>
    </w:p>
    <w:p w14:paraId="056D91DB">
      <w:pPr>
        <w:spacing w:line="360" w:lineRule="auto"/>
        <w:jc w:val="center"/>
        <w:rPr>
          <w:rFonts w:eastAsia="等线"/>
          <w:iCs/>
          <w:color w:val="000000"/>
          <w:kern w:val="24"/>
          <w:sz w:val="24"/>
          <w:highlight w:val="none"/>
        </w:rPr>
      </w:pPr>
      <m:oMathPara>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w:rPr>
                  <w:rFonts w:hint="default" w:ascii="Cambria Math" w:hAnsi="Cambria Math"/>
                  <w:sz w:val="24"/>
                  <w:highlight w:val="none"/>
                </w:rPr>
                <m:t>1</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w:rPr>
              <w:rFonts w:hint="default" w:ascii="Cambria Math" w:hAnsi="Cambria Math"/>
              <w:sz w:val="24"/>
              <w:highlight w:val="none"/>
            </w:rPr>
            <m:t>=</m:t>
          </m:r>
          <m:f>
            <m:fPr>
              <m:ctrlPr>
                <w:rPr>
                  <w:rFonts w:hint="default" w:ascii="Cambria Math" w:hAnsi="Cambria Math"/>
                  <w:i/>
                  <w:sz w:val="24"/>
                  <w:highlight w:val="none"/>
                </w:rPr>
              </m:ctrlPr>
            </m:fPr>
            <m:num>
              <m:r>
                <m:rPr/>
                <w:rPr>
                  <w:rFonts w:hint="default" w:ascii="Cambria Math" w:hAnsi="Cambria Math"/>
                  <w:sz w:val="24"/>
                  <w:highlight w:val="none"/>
                  <w:lang w:val="en-US" w:eastAsia="zh-CN"/>
                </w:rPr>
                <m:t>1</m:t>
              </m:r>
              <m:r>
                <m:rPr/>
                <w:rPr>
                  <w:rFonts w:hint="default" w:ascii="Cambria Math" w:hAnsi="Cambria Math"/>
                  <w:sz w:val="24"/>
                  <w:highlight w:val="none"/>
                </w:rPr>
                <m:t>.</m:t>
              </m:r>
              <m:r>
                <m:rPr/>
                <w:rPr>
                  <w:rFonts w:hint="default" w:ascii="Cambria Math" w:hAnsi="Cambria Math"/>
                  <w:sz w:val="24"/>
                  <w:highlight w:val="none"/>
                  <w:lang w:val="en-US" w:eastAsia="zh-CN"/>
                </w:rPr>
                <m:t>2</m:t>
              </m:r>
              <m:r>
                <m:rPr/>
                <w:rPr>
                  <w:rFonts w:hint="default" w:ascii="Cambria Math" w:hAnsi="Cambria Math"/>
                  <w:sz w:val="24"/>
                  <w:highlight w:val="none"/>
                </w:rPr>
                <m:t xml:space="preserve">2 </m:t>
              </m:r>
              <m:r>
                <m:rPr>
                  <m:sty m:val="p"/>
                </m:rPr>
                <w:rPr>
                  <w:rFonts w:hint="default" w:ascii="Cambria Math" w:hAnsi="Cambria Math"/>
                  <w:sz w:val="24"/>
                  <w:highlight w:val="none"/>
                </w:rPr>
                <m:t>nm</m:t>
              </m:r>
              <m:ctrlPr>
                <w:rPr>
                  <w:rFonts w:hint="default" w:ascii="Cambria Math" w:hAnsi="Cambria Math"/>
                  <w:i/>
                  <w:sz w:val="24"/>
                  <w:highlight w:val="none"/>
                </w:rPr>
              </m:ctrlPr>
            </m:num>
            <m:den>
              <m:rad>
                <m:radPr>
                  <m:degHide m:val="1"/>
                  <m:ctrlPr>
                    <w:rPr>
                      <w:rFonts w:hint="default" w:ascii="Cambria Math" w:hAnsi="Cambria Math"/>
                      <w:i/>
                      <w:sz w:val="24"/>
                      <w:highlight w:val="none"/>
                    </w:rPr>
                  </m:ctrlPr>
                </m:radPr>
                <m:deg>
                  <m:ctrlPr>
                    <w:rPr>
                      <w:rFonts w:hint="default" w:ascii="Cambria Math" w:hAnsi="Cambria Math"/>
                      <w:i/>
                      <w:sz w:val="24"/>
                      <w:highlight w:val="none"/>
                    </w:rPr>
                  </m:ctrlPr>
                </m:deg>
                <m:e>
                  <m:r>
                    <m:rPr/>
                    <w:rPr>
                      <w:rFonts w:hint="default" w:ascii="Cambria Math" w:hAnsi="Cambria Math"/>
                      <w:sz w:val="24"/>
                      <w:highlight w:val="none"/>
                      <w:lang w:val="en-US" w:eastAsia="zh-CN"/>
                    </w:rPr>
                    <m:t>5</m:t>
                  </m:r>
                  <m:ctrlPr>
                    <w:rPr>
                      <w:rFonts w:hint="default" w:ascii="Cambria Math" w:hAnsi="Cambria Math"/>
                      <w:i/>
                      <w:sz w:val="24"/>
                      <w:highlight w:val="none"/>
                    </w:rPr>
                  </m:ctrlPr>
                </m:e>
              </m:rad>
              <m:ctrlPr>
                <w:rPr>
                  <w:rFonts w:hint="default" w:ascii="Cambria Math" w:hAnsi="Cambria Math"/>
                  <w:i/>
                  <w:sz w:val="24"/>
                  <w:highlight w:val="none"/>
                </w:rPr>
              </m:ctrlPr>
            </m:den>
          </m:f>
          <m:r>
            <m:rPr>
              <m:sty m:val="p"/>
            </m:rPr>
            <w:rPr>
              <w:rFonts w:hint="default" w:eastAsia="等线"/>
              <w:color w:val="000000"/>
              <w:kern w:val="24"/>
              <w:sz w:val="24"/>
              <w:highlight w:val="none"/>
            </w:rPr>
            <m:t>=</m:t>
          </m:r>
          <m:r>
            <m:rPr>
              <m:sty m:val="p"/>
            </m:rPr>
            <w:rPr>
              <w:rFonts w:hint="eastAsia" w:ascii="Cambria Math" w:hAnsi="Cambria Math" w:eastAsia="宋体" w:cs="宋体"/>
              <w:color w:val="000000"/>
              <w:kern w:val="24"/>
              <w:sz w:val="24"/>
              <w:highlight w:val="none"/>
            </w:rPr>
            <m:t>0.</m:t>
          </m:r>
          <m:r>
            <m:rPr>
              <m:sty m:val="p"/>
            </m:rPr>
            <w:rPr>
              <w:rFonts w:hint="default" w:ascii="Cambria Math" w:hAnsi="Cambria Math" w:eastAsia="宋体" w:cs="宋体"/>
              <w:color w:val="000000"/>
              <w:kern w:val="24"/>
              <w:sz w:val="24"/>
              <w:highlight w:val="none"/>
              <w:lang w:val="en-US" w:eastAsia="zh-CN"/>
            </w:rPr>
            <m:t>55</m:t>
          </m:r>
          <m:r>
            <m:rPr>
              <m:sty m:val="p"/>
            </m:rPr>
            <w:rPr>
              <w:rFonts w:hint="eastAsia" w:ascii="Cambria Math" w:hAnsi="Cambria Math" w:eastAsia="宋体" w:cs="宋体"/>
              <w:color w:val="000000"/>
              <w:kern w:val="24"/>
              <w:sz w:val="24"/>
              <w:highlight w:val="none"/>
            </w:rPr>
            <m:t xml:space="preserve"> </m:t>
          </m:r>
          <m:r>
            <m:rPr>
              <m:sty m:val="p"/>
            </m:rPr>
            <w:rPr>
              <w:rFonts w:hint="default" w:eastAsia="等线"/>
              <w:color w:val="000000"/>
              <w:kern w:val="24"/>
              <w:sz w:val="24"/>
              <w:highlight w:val="none"/>
            </w:rPr>
            <m:t>nm</m:t>
          </m:r>
        </m:oMath>
      </m:oMathPara>
    </w:p>
    <w:p w14:paraId="40372442">
      <w:pPr>
        <w:spacing w:line="360" w:lineRule="auto"/>
        <w:rPr>
          <w:sz w:val="24"/>
          <w:highlight w:val="none"/>
        </w:rPr>
      </w:pPr>
      <w:r>
        <w:rPr>
          <w:rFonts w:hint="eastAsia" w:ascii="宋体" w:hAnsi="宋体" w:cs="宋体"/>
          <w:sz w:val="24"/>
          <w:highlight w:val="none"/>
        </w:rPr>
        <w:t>（2）</w:t>
      </w:r>
      <w:r>
        <w:rPr>
          <w:rFonts w:hint="eastAsia"/>
          <w:sz w:val="24"/>
          <w:highlight w:val="none"/>
          <w:lang w:eastAsia="zh-CN"/>
        </w:rPr>
        <w:t>汞氩灯</w:t>
      </w:r>
      <w:r>
        <w:rPr>
          <w:sz w:val="24"/>
          <w:highlight w:val="none"/>
        </w:rPr>
        <w:t>引入的标准不确定度</w:t>
      </w:r>
      <w:r>
        <w:rPr>
          <w:i/>
          <w:sz w:val="24"/>
          <w:highlight w:val="none"/>
        </w:rPr>
        <w:t>u</w:t>
      </w:r>
      <w:r>
        <w:rPr>
          <w:sz w:val="24"/>
          <w:highlight w:val="none"/>
          <w:vertAlign w:val="subscript"/>
        </w:rPr>
        <w:t>2</w:t>
      </w:r>
      <w:r>
        <w:rPr>
          <w:sz w:val="24"/>
          <w:highlight w:val="none"/>
        </w:rPr>
        <w:t>(</w:t>
      </w:r>
      <w:r>
        <w:rPr>
          <w:i/>
          <w:iCs/>
          <w:sz w:val="24"/>
          <w:highlight w:val="none"/>
        </w:rPr>
        <w:t>λ</w:t>
      </w:r>
      <w:r>
        <w:rPr>
          <w:sz w:val="24"/>
          <w:highlight w:val="none"/>
        </w:rPr>
        <w:t>)</w:t>
      </w:r>
    </w:p>
    <w:p w14:paraId="586F7CFD">
      <w:pPr>
        <w:autoSpaceDE w:val="0"/>
        <w:autoSpaceDN w:val="0"/>
        <w:adjustRightInd w:val="0"/>
        <w:spacing w:line="360" w:lineRule="auto"/>
        <w:ind w:firstLine="480" w:firstLineChars="200"/>
        <w:rPr>
          <w:sz w:val="24"/>
          <w:highlight w:val="none"/>
        </w:rPr>
      </w:pPr>
      <w:r>
        <w:rPr>
          <w:sz w:val="24"/>
          <w:highlight w:val="none"/>
        </w:rPr>
        <w:t>由校准证书中给出的汞氩灯的扩展不确定度为</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sz w:val="24"/>
          <w:highlight w:val="none"/>
        </w:rPr>
        <w:t>nm</w:t>
      </w:r>
      <w:r>
        <w:rPr>
          <w:rFonts w:hint="eastAsia"/>
          <w:sz w:val="24"/>
          <w:highlight w:val="none"/>
          <w:lang w:val="en-US" w:eastAsia="zh-CN"/>
        </w:rPr>
        <w:t xml:space="preserve"> </w:t>
      </w:r>
      <w:r>
        <w:rPr>
          <w:sz w:val="24"/>
          <w:highlight w:val="none"/>
        </w:rPr>
        <w:t>(</w:t>
      </w:r>
      <w:r>
        <w:rPr>
          <w:i/>
          <w:sz w:val="24"/>
          <w:highlight w:val="none"/>
        </w:rPr>
        <w:t>k</w:t>
      </w:r>
      <w:r>
        <w:rPr>
          <w:sz w:val="24"/>
          <w:highlight w:val="none"/>
        </w:rPr>
        <w:t>=</w:t>
      </w:r>
      <w:r>
        <w:rPr>
          <w:rFonts w:hint="eastAsia" w:ascii="宋体" w:hAnsi="宋体" w:cs="宋体"/>
          <w:sz w:val="24"/>
          <w:highlight w:val="none"/>
        </w:rPr>
        <w:t>2</w:t>
      </w:r>
      <w:r>
        <w:rPr>
          <w:sz w:val="24"/>
          <w:highlight w:val="none"/>
        </w:rPr>
        <w:t>)，因此，标准不确定度为</w:t>
      </w:r>
      <w:r>
        <w:rPr>
          <w:i/>
          <w:sz w:val="24"/>
          <w:highlight w:val="none"/>
        </w:rPr>
        <w:t>u</w:t>
      </w:r>
      <w:r>
        <w:rPr>
          <w:sz w:val="24"/>
          <w:highlight w:val="none"/>
          <w:vertAlign w:val="subscript"/>
        </w:rPr>
        <w:t>2</w:t>
      </w:r>
      <w:r>
        <w:rPr>
          <w:sz w:val="24"/>
          <w:highlight w:val="none"/>
        </w:rPr>
        <w:t>(</w:t>
      </w:r>
      <w:r>
        <w:rPr>
          <w:i/>
          <w:iCs/>
          <w:sz w:val="24"/>
          <w:highlight w:val="none"/>
        </w:rPr>
        <w:t>λ</w:t>
      </w:r>
      <w:r>
        <w:rPr>
          <w:sz w:val="24"/>
          <w:highlight w:val="none"/>
        </w:rPr>
        <w:t>)=</w:t>
      </w:r>
      <w:r>
        <w:rPr>
          <w:rFonts w:hint="eastAsia" w:ascii="宋体" w:hAnsi="宋体" w:cs="宋体"/>
          <w:sz w:val="24"/>
          <w:highlight w:val="none"/>
        </w:rPr>
        <w:t>0.1</w:t>
      </w:r>
      <w:r>
        <w:rPr>
          <w:rFonts w:hint="eastAsia" w:ascii="宋体" w:hAnsi="宋体" w:cs="宋体"/>
          <w:sz w:val="24"/>
          <w:highlight w:val="none"/>
          <w:lang w:val="en-US" w:eastAsia="zh-CN"/>
        </w:rPr>
        <w:t>0</w:t>
      </w:r>
      <w:r>
        <w:rPr>
          <w:rFonts w:hint="eastAsia" w:ascii="宋体" w:hAnsi="宋体" w:cs="宋体"/>
          <w:sz w:val="24"/>
          <w:highlight w:val="none"/>
        </w:rPr>
        <w:t xml:space="preserve"> </w:t>
      </w:r>
      <w:r>
        <w:rPr>
          <w:sz w:val="24"/>
          <w:highlight w:val="none"/>
        </w:rPr>
        <w:t>nm/</w:t>
      </w:r>
      <w:r>
        <w:rPr>
          <w:rFonts w:hint="eastAsia" w:ascii="宋体" w:hAnsi="宋体" w:cs="宋体"/>
          <w:sz w:val="24"/>
          <w:highlight w:val="none"/>
        </w:rPr>
        <w:t>2</w:t>
      </w:r>
      <w:r>
        <w:rPr>
          <w:sz w:val="24"/>
          <w:highlight w:val="none"/>
        </w:rPr>
        <w:t>=</w:t>
      </w:r>
      <w:r>
        <w:rPr>
          <w:rFonts w:hint="eastAsia" w:ascii="宋体" w:hAnsi="宋体" w:cs="宋体"/>
          <w:sz w:val="24"/>
          <w:highlight w:val="none"/>
        </w:rPr>
        <w:t xml:space="preserve">0.05 </w:t>
      </w:r>
      <w:r>
        <w:rPr>
          <w:sz w:val="24"/>
          <w:highlight w:val="none"/>
        </w:rPr>
        <w:t>nm。</w:t>
      </w:r>
    </w:p>
    <w:p w14:paraId="224539CB">
      <w:pPr>
        <w:spacing w:line="360" w:lineRule="auto"/>
        <w:rPr>
          <w:sz w:val="24"/>
          <w:highlight w:val="none"/>
        </w:rPr>
      </w:pPr>
      <w:r>
        <w:rPr>
          <w:rFonts w:hint="eastAsia" w:ascii="宋体" w:hAnsi="宋体" w:cs="宋体"/>
          <w:sz w:val="24"/>
          <w:highlight w:val="none"/>
        </w:rPr>
        <w:t>（3）</w:t>
      </w:r>
      <w:r>
        <w:rPr>
          <w:sz w:val="24"/>
          <w:highlight w:val="none"/>
        </w:rPr>
        <w:t>合成标准不确定度</w:t>
      </w:r>
    </w:p>
    <w:p w14:paraId="790C487D">
      <w:pPr>
        <w:spacing w:line="360" w:lineRule="auto"/>
        <w:ind w:firstLine="480" w:firstLineChars="200"/>
        <w:rPr>
          <w:sz w:val="24"/>
          <w:highlight w:val="none"/>
        </w:rPr>
      </w:pPr>
      <w:r>
        <w:rPr>
          <w:sz w:val="24"/>
          <w:highlight w:val="none"/>
        </w:rPr>
        <w:t>以上各分量可近似不相关，故合成标准不确定度</w:t>
      </w:r>
      <w:r>
        <w:rPr>
          <w:i/>
          <w:sz w:val="24"/>
          <w:highlight w:val="none"/>
        </w:rPr>
        <w:t>u</w:t>
      </w:r>
      <w:r>
        <w:rPr>
          <w:sz w:val="24"/>
          <w:highlight w:val="none"/>
          <w:vertAlign w:val="subscript"/>
        </w:rPr>
        <w:t>c</w:t>
      </w:r>
      <w:r>
        <w:rPr>
          <w:sz w:val="24"/>
          <w:highlight w:val="none"/>
        </w:rPr>
        <w:t>(</w:t>
      </w:r>
      <w:r>
        <w:rPr>
          <w:i/>
          <w:iCs/>
          <w:sz w:val="24"/>
          <w:highlight w:val="none"/>
        </w:rPr>
        <w:t>λ</w:t>
      </w:r>
      <w:r>
        <w:rPr>
          <w:rFonts w:hint="eastAsia"/>
          <w:sz w:val="24"/>
          <w:highlight w:val="none"/>
          <w:vertAlign w:val="subscript"/>
        </w:rPr>
        <w:t>ex</w:t>
      </w:r>
      <w:r>
        <w:rPr>
          <w:sz w:val="24"/>
          <w:highlight w:val="none"/>
        </w:rPr>
        <w:t>)可通过下式进行合成计算：</w:t>
      </w:r>
    </w:p>
    <w:p w14:paraId="179C0406">
      <w:pPr>
        <w:spacing w:line="360" w:lineRule="auto"/>
        <w:jc w:val="center"/>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m:sty m:val="p"/>
          </m:rPr>
          <w:rPr>
            <w:rFonts w:hint="default" w:ascii="Cambria Math" w:hAnsi="Cambria Math"/>
            <w:sz w:val="24"/>
            <w:highlight w:val="none"/>
          </w:rPr>
          <m:t>=</m:t>
        </m:r>
        <m:rad>
          <m:radPr>
            <m:degHide m:val="1"/>
            <m:ctrlPr>
              <w:rPr>
                <w:rFonts w:hint="default" w:ascii="Cambria Math" w:hAnsi="Cambria Math"/>
                <w:i/>
                <w:iCs/>
                <w:kern w:val="24"/>
                <w:sz w:val="24"/>
                <w:highlight w:val="none"/>
              </w:rPr>
            </m:ctrlPr>
          </m:radPr>
          <m:deg>
            <m:ctrlPr>
              <w:rPr>
                <w:rFonts w:hint="default" w:ascii="Cambria Math" w:hAnsi="Cambria Math"/>
                <w:i/>
                <w:iCs/>
                <w:kern w:val="24"/>
                <w:sz w:val="24"/>
                <w:highlight w:val="none"/>
              </w:rPr>
            </m:ctrlPr>
          </m:deg>
          <m:e>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w:rPr>
                    <w:rFonts w:hint="default" w:ascii="Cambria Math" w:hAnsi="Cambria Math"/>
                    <w:kern w:val="24"/>
                    <w:sz w:val="24"/>
                    <w:highlight w:val="none"/>
                  </w:rPr>
                  <m:t>1</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w:rPr>
                <w:rFonts w:hint="default" w:ascii="Cambria Math" w:hAnsi="Cambria Math"/>
                <w:kern w:val="24"/>
                <w:sz w:val="24"/>
                <w:highlight w:val="none"/>
              </w:rPr>
              <m:t>+</m:t>
            </m:r>
            <m:sSubSup>
              <m:sSubSupPr>
                <m:ctrlPr>
                  <w:rPr>
                    <w:rFonts w:hint="default" w:ascii="Cambria Math" w:hAnsi="Cambria Math"/>
                    <w:i/>
                    <w:iCs/>
                    <w:kern w:val="24"/>
                    <w:sz w:val="24"/>
                    <w:highlight w:val="none"/>
                  </w:rPr>
                </m:ctrlPr>
              </m:sSubSupPr>
              <m:e>
                <m:r>
                  <m:rPr/>
                  <w:rPr>
                    <w:rFonts w:hint="default" w:ascii="Cambria Math" w:hAnsi="Cambria Math"/>
                    <w:sz w:val="24"/>
                    <w:highlight w:val="none"/>
                  </w:rPr>
                  <m:t>u</m:t>
                </m:r>
                <m:ctrlPr>
                  <w:rPr>
                    <w:rFonts w:hint="default" w:ascii="Cambria Math" w:hAnsi="Cambria Math"/>
                    <w:i/>
                    <w:iCs/>
                    <w:kern w:val="24"/>
                    <w:sz w:val="24"/>
                    <w:highlight w:val="none"/>
                  </w:rPr>
                </m:ctrlPr>
              </m:e>
              <m:sub>
                <m:r>
                  <m:rPr>
                    <m:sty m:val="p"/>
                  </m:rPr>
                  <w:rPr>
                    <w:rFonts w:hint="default" w:ascii="Cambria Math" w:hAnsi="Cambria Math"/>
                    <w:kern w:val="24"/>
                    <w:sz w:val="24"/>
                    <w:highlight w:val="none"/>
                  </w:rPr>
                  <m:t>2</m:t>
                </m:r>
                <m:ctrlPr>
                  <w:rPr>
                    <w:rFonts w:hint="default" w:ascii="Cambria Math" w:hAnsi="Cambria Math"/>
                    <w:i/>
                    <w:iCs/>
                    <w:kern w:val="24"/>
                    <w:sz w:val="24"/>
                    <w:highlight w:val="none"/>
                  </w:rPr>
                </m:ctrlPr>
              </m:sub>
              <m:sup>
                <m:r>
                  <m:rPr/>
                  <w:rPr>
                    <w:rFonts w:hint="default" w:ascii="Cambria Math" w:hAnsi="Cambria Math"/>
                    <w:kern w:val="24"/>
                    <w:sz w:val="24"/>
                    <w:highlight w:val="none"/>
                  </w:rPr>
                  <m:t>2</m:t>
                </m:r>
                <m:ctrlPr>
                  <w:rPr>
                    <w:rFonts w:hint="default" w:ascii="Cambria Math" w:hAnsi="Cambria Math"/>
                    <w:i/>
                    <w:iCs/>
                    <w:kern w:val="24"/>
                    <w:sz w:val="24"/>
                    <w:highlight w:val="none"/>
                  </w:rPr>
                </m:ctrlPr>
              </m:sup>
            </m:sSubSup>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ctrlPr>
              <w:rPr>
                <w:rFonts w:hint="default" w:ascii="Cambria Math" w:hAnsi="Cambria Math"/>
                <w:i/>
                <w:iCs/>
                <w:kern w:val="24"/>
                <w:sz w:val="24"/>
                <w:highlight w:val="none"/>
              </w:rPr>
            </m:ctrlPr>
          </m:e>
        </m:rad>
        <m:r>
          <m:rPr>
            <m:sty m:val="p"/>
          </m:rPr>
          <w:rPr>
            <w:rFonts w:hint="default" w:ascii="Cambria Math" w:hAnsi="Cambria Math"/>
            <w:sz w:val="24"/>
            <w:highlight w:val="none"/>
          </w:rPr>
          <m:t>=</m:t>
        </m:r>
      </m:oMath>
      <w:r>
        <w:rPr>
          <w:rFonts w:hint="eastAsia" w:ascii="宋体" w:hAnsi="宋体" w:cs="宋体"/>
          <w:sz w:val="24"/>
          <w:highlight w:val="none"/>
        </w:rPr>
        <w:t>0.</w:t>
      </w:r>
      <w:r>
        <w:rPr>
          <w:rFonts w:hint="eastAsia" w:ascii="宋体" w:hAnsi="宋体" w:cs="宋体"/>
          <w:sz w:val="24"/>
          <w:highlight w:val="none"/>
          <w:lang w:val="en-US" w:eastAsia="zh-CN"/>
        </w:rPr>
        <w:t>552</w:t>
      </w:r>
      <w:r>
        <w:rPr>
          <w:rFonts w:hint="eastAsia" w:ascii="宋体" w:hAnsi="宋体" w:cs="宋体"/>
          <w:sz w:val="24"/>
          <w:highlight w:val="none"/>
        </w:rPr>
        <w:t xml:space="preserve"> </w:t>
      </w:r>
      <w:r>
        <w:rPr>
          <w:sz w:val="24"/>
          <w:highlight w:val="none"/>
        </w:rPr>
        <w:t>nm</w:t>
      </w:r>
    </w:p>
    <w:p w14:paraId="7AF54816">
      <w:pPr>
        <w:spacing w:line="360" w:lineRule="auto"/>
        <w:rPr>
          <w:sz w:val="24"/>
          <w:highlight w:val="none"/>
        </w:rPr>
      </w:pPr>
      <w:r>
        <w:rPr>
          <w:rFonts w:hint="eastAsia" w:ascii="宋体" w:hAnsi="宋体" w:cs="宋体"/>
          <w:sz w:val="24"/>
          <w:highlight w:val="none"/>
        </w:rPr>
        <w:t>（4）</w:t>
      </w:r>
      <w:r>
        <w:rPr>
          <w:sz w:val="24"/>
          <w:highlight w:val="none"/>
        </w:rPr>
        <w:t>扩展不确定度</w:t>
      </w:r>
    </w:p>
    <w:p w14:paraId="74470DE5">
      <w:pPr>
        <w:spacing w:line="360" w:lineRule="auto"/>
        <w:ind w:firstLine="480" w:firstLineChars="200"/>
        <w:rPr>
          <w:sz w:val="24"/>
          <w:highlight w:val="none"/>
        </w:rPr>
      </w:pPr>
      <w:r>
        <w:rPr>
          <w:sz w:val="24"/>
          <w:highlight w:val="none"/>
        </w:rPr>
        <w:t>扩展不确定度</w:t>
      </w:r>
      <w:r>
        <w:rPr>
          <w:i/>
          <w:sz w:val="24"/>
          <w:highlight w:val="none"/>
        </w:rPr>
        <w:t>U</w:t>
      </w:r>
      <w:r>
        <w:rPr>
          <w:sz w:val="24"/>
          <w:highlight w:val="none"/>
        </w:rPr>
        <w:t>(</w:t>
      </w:r>
      <w:r>
        <w:rPr>
          <w:i/>
          <w:iCs/>
          <w:sz w:val="24"/>
          <w:highlight w:val="none"/>
        </w:rPr>
        <w:t>λ</w:t>
      </w:r>
      <w:r>
        <w:rPr>
          <w:sz w:val="24"/>
          <w:highlight w:val="none"/>
        </w:rPr>
        <w:t>)等于包含因子</w:t>
      </w:r>
      <w:r>
        <w:rPr>
          <w:i/>
          <w:sz w:val="24"/>
          <w:highlight w:val="none"/>
        </w:rPr>
        <w:t>k</w:t>
      </w:r>
      <w:r>
        <w:rPr>
          <w:sz w:val="24"/>
          <w:highlight w:val="none"/>
        </w:rPr>
        <w:t>与合成标准不确定度</w:t>
      </w:r>
      <w:r>
        <w:rPr>
          <w:i/>
          <w:sz w:val="24"/>
          <w:highlight w:val="none"/>
        </w:rPr>
        <w:t>u</w:t>
      </w:r>
      <w:r>
        <w:rPr>
          <w:sz w:val="24"/>
          <w:highlight w:val="none"/>
          <w:vertAlign w:val="subscript"/>
        </w:rPr>
        <w:t>c</w:t>
      </w:r>
      <w:r>
        <w:rPr>
          <w:sz w:val="24"/>
          <w:highlight w:val="none"/>
        </w:rPr>
        <w:t>(</w:t>
      </w:r>
      <w:r>
        <w:rPr>
          <w:i/>
          <w:iCs/>
          <w:sz w:val="24"/>
          <w:highlight w:val="none"/>
        </w:rPr>
        <w:t>λ</w:t>
      </w:r>
      <w:r>
        <w:rPr>
          <w:rFonts w:hint="eastAsia"/>
          <w:sz w:val="24"/>
          <w:highlight w:val="none"/>
          <w:vertAlign w:val="subscript"/>
        </w:rPr>
        <w:t>ex</w:t>
      </w:r>
      <w:r>
        <w:rPr>
          <w:sz w:val="24"/>
          <w:highlight w:val="none"/>
        </w:rPr>
        <w:t>)之积，在此取</w:t>
      </w:r>
      <w:r>
        <w:rPr>
          <w:i/>
          <w:sz w:val="24"/>
          <w:highlight w:val="none"/>
        </w:rPr>
        <w:t>k</w:t>
      </w:r>
      <w:r>
        <w:rPr>
          <w:sz w:val="24"/>
          <w:highlight w:val="none"/>
        </w:rPr>
        <w:t>=</w:t>
      </w:r>
      <w:r>
        <w:rPr>
          <w:rFonts w:hint="eastAsia" w:ascii="宋体" w:hAnsi="宋体" w:cs="宋体"/>
          <w:sz w:val="24"/>
          <w:highlight w:val="none"/>
        </w:rPr>
        <w:t>2</w:t>
      </w:r>
      <w:r>
        <w:rPr>
          <w:sz w:val="24"/>
          <w:highlight w:val="none"/>
        </w:rPr>
        <w:t>。</w:t>
      </w:r>
    </w:p>
    <w:p w14:paraId="3CAAE660">
      <w:pPr>
        <w:spacing w:line="360" w:lineRule="auto"/>
        <w:jc w:val="center"/>
        <w:rPr>
          <w:sz w:val="24"/>
          <w:highlight w:val="none"/>
        </w:rPr>
      </w:pPr>
      <w:r>
        <w:rPr>
          <w:i/>
          <w:iCs/>
          <w:kern w:val="24"/>
          <w:sz w:val="24"/>
          <w:highlight w:val="none"/>
        </w:rPr>
        <w:t>U</w:t>
      </w:r>
      <m:oMath>
        <m:d>
          <m:dPr>
            <m:ctrlPr>
              <w:rPr>
                <w:rFonts w:hint="default" w:ascii="Cambria Math" w:hAnsi="Cambria Math"/>
                <w:i/>
                <w:kern w:val="24"/>
                <w:sz w:val="24"/>
                <w:highlight w:val="none"/>
              </w:rPr>
            </m:ctrlPr>
          </m:dPr>
          <m:e>
            <m:r>
              <m:rPr/>
              <w:rPr>
                <w:rFonts w:hint="default" w:ascii="Cambria Math" w:hAnsi="Cambria Math"/>
                <w:sz w:val="24"/>
                <w:highlight w:val="none"/>
              </w:rPr>
              <m:t>λ</m:t>
            </m:r>
            <m:ctrlPr>
              <w:rPr>
                <w:rFonts w:hint="default" w:ascii="Cambria Math" w:hAnsi="Cambria Math"/>
                <w:i/>
                <w:kern w:val="24"/>
                <w:sz w:val="24"/>
                <w:highlight w:val="none"/>
              </w:rPr>
            </m:ctrlPr>
          </m:e>
        </m:d>
        <m:r>
          <m:rPr/>
          <w:rPr>
            <w:rFonts w:hint="default" w:ascii="Cambria Math" w:hAnsi="Cambria Math"/>
            <w:kern w:val="24"/>
            <w:sz w:val="24"/>
            <w:highlight w:val="none"/>
          </w:rPr>
          <m:t>=k</m:t>
        </m:r>
        <m:sSub>
          <m:sSubPr>
            <m:ctrlPr>
              <w:rPr>
                <w:rFonts w:hint="default" w:ascii="Cambria Math" w:hAnsi="Cambria Math"/>
                <w:i/>
                <w:sz w:val="24"/>
                <w:highlight w:val="none"/>
              </w:rPr>
            </m:ctrlPr>
          </m:sSubPr>
          <m:e>
            <m:r>
              <m:rPr/>
              <w:rPr>
                <w:rFonts w:hint="default" w:ascii="Cambria Math" w:hAnsi="Cambria Math"/>
                <w:sz w:val="24"/>
                <w:highlight w:val="none"/>
              </w:rPr>
              <m:t>u</m:t>
            </m:r>
            <m:ctrlPr>
              <w:rPr>
                <w:rFonts w:hint="default" w:ascii="Cambria Math" w:hAnsi="Cambria Math"/>
                <w:i/>
                <w:sz w:val="24"/>
                <w:highlight w:val="none"/>
              </w:rPr>
            </m:ctrlPr>
          </m:e>
          <m:sub>
            <m:r>
              <m:rPr>
                <m:sty m:val="p"/>
              </m:rPr>
              <w:rPr>
                <w:rFonts w:hint="default" w:ascii="Cambria Math" w:hAnsi="Cambria Math"/>
                <w:sz w:val="24"/>
                <w:highlight w:val="none"/>
              </w:rPr>
              <m:t>c</m:t>
            </m:r>
            <m:ctrlPr>
              <w:rPr>
                <w:rFonts w:hint="default" w:ascii="Cambria Math" w:hAnsi="Cambria Math"/>
                <w:i/>
                <w:sz w:val="24"/>
                <w:highlight w:val="none"/>
              </w:rPr>
            </m:ctrlPr>
          </m:sub>
        </m:sSub>
        <m:d>
          <m:dPr>
            <m:ctrlPr>
              <w:rPr>
                <w:rFonts w:hint="default" w:ascii="Cambria Math" w:hAnsi="Cambria Math"/>
                <w:sz w:val="24"/>
                <w:highlight w:val="none"/>
              </w:rPr>
            </m:ctrlPr>
          </m:dPr>
          <m:e>
            <m:r>
              <m:rPr/>
              <w:rPr>
                <w:rFonts w:hint="default" w:ascii="Cambria Math" w:hAnsi="Cambria Math"/>
                <w:sz w:val="24"/>
                <w:highlight w:val="none"/>
              </w:rPr>
              <m:t>λ</m:t>
            </m:r>
            <m:ctrlPr>
              <w:rPr>
                <w:rFonts w:hint="default" w:ascii="Cambria Math" w:hAnsi="Cambria Math"/>
                <w:sz w:val="24"/>
                <w:highlight w:val="none"/>
              </w:rPr>
            </m:ctrlPr>
          </m:e>
        </m:d>
        <m:r>
          <m:rPr/>
          <w:rPr>
            <w:rFonts w:hint="default" w:ascii="Cambria Math" w:hAnsi="Cambria Math"/>
            <w:kern w:val="24"/>
            <w:sz w:val="24"/>
            <w:highlight w:val="none"/>
          </w:rPr>
          <m:t>=</m:t>
        </m:r>
        <m:r>
          <m:rPr/>
          <w:rPr>
            <w:rFonts w:hint="default" w:ascii="Cambria Math" w:hAnsi="Cambria Math"/>
            <w:kern w:val="24"/>
            <w:sz w:val="24"/>
            <w:highlight w:val="none"/>
            <w:lang w:val="en-US" w:eastAsia="zh-CN"/>
          </w:rPr>
          <m:t>1.2</m:t>
        </m:r>
        <m:r>
          <m:rPr/>
          <w:rPr>
            <w:rFonts w:hint="default" w:ascii="Cambria Math" w:hAnsi="Cambria Math"/>
            <w:kern w:val="24"/>
            <w:sz w:val="24"/>
            <w:highlight w:val="none"/>
          </w:rPr>
          <m:t xml:space="preserve"> </m:t>
        </m:r>
        <m:r>
          <m:rPr>
            <m:sty m:val="p"/>
          </m:rPr>
          <w:rPr>
            <w:rFonts w:hint="default" w:ascii="Cambria Math" w:hAnsi="Cambria Math"/>
            <w:kern w:val="24"/>
            <w:sz w:val="24"/>
            <w:highlight w:val="none"/>
          </w:rPr>
          <m:t>nm</m:t>
        </m:r>
      </m:oMath>
    </w:p>
    <w:p w14:paraId="1EC3208C">
      <w:pPr>
        <w:spacing w:line="360" w:lineRule="auto"/>
        <w:rPr>
          <w:rFonts w:hint="eastAsia" w:ascii="宋体" w:hAnsi="宋体" w:eastAsia="宋体" w:cs="宋体"/>
          <w:sz w:val="24"/>
          <w:highlight w:val="none"/>
        </w:rPr>
      </w:pPr>
      <w:r>
        <w:rPr>
          <w:rFonts w:hint="eastAsia" w:ascii="宋体" w:hAnsi="宋体" w:eastAsia="宋体" w:cs="宋体"/>
          <w:sz w:val="24"/>
          <w:highlight w:val="none"/>
        </w:rPr>
        <w:t>A.</w:t>
      </w:r>
      <w:r>
        <w:rPr>
          <w:rFonts w:hint="eastAsia" w:ascii="宋体" w:hAnsi="宋体" w:cs="宋体"/>
          <w:sz w:val="24"/>
          <w:highlight w:val="none"/>
          <w:lang w:eastAsia="zh-CN"/>
        </w:rPr>
        <w:t>3</w:t>
      </w:r>
      <w:r>
        <w:rPr>
          <w:rFonts w:hint="eastAsia" w:ascii="宋体" w:hAnsi="宋体" w:eastAsia="宋体" w:cs="宋体"/>
          <w:sz w:val="24"/>
          <w:highlight w:val="none"/>
        </w:rPr>
        <w:t>.4 报告结果</w:t>
      </w:r>
    </w:p>
    <w:p w14:paraId="2FCDDF87">
      <w:pPr>
        <w:spacing w:line="360" w:lineRule="auto"/>
        <w:ind w:firstLine="480" w:firstLineChars="200"/>
        <w:rPr>
          <w:sz w:val="24"/>
          <w:highlight w:val="none"/>
        </w:rPr>
      </w:pPr>
      <w:r>
        <w:rPr>
          <w:sz w:val="24"/>
          <w:highlight w:val="none"/>
        </w:rPr>
        <w:t>通过以上分析和计算，可得</w:t>
      </w:r>
      <w:r>
        <w:rPr>
          <w:rFonts w:hint="eastAsia" w:ascii="宋体" w:hAnsi="宋体" w:eastAsia="宋体" w:cs="宋体"/>
          <w:color w:val="000000"/>
          <w:sz w:val="24"/>
          <w:highlight w:val="none"/>
        </w:rPr>
        <w:t>荧光发射光谱峰值波长</w:t>
      </w:r>
      <w:r>
        <w:rPr>
          <w:rFonts w:hint="eastAsia"/>
          <w:sz w:val="24"/>
          <w:highlight w:val="none"/>
        </w:rPr>
        <w:t>的测量</w:t>
      </w:r>
      <w:r>
        <w:rPr>
          <w:sz w:val="24"/>
          <w:highlight w:val="none"/>
        </w:rPr>
        <w:t>不确定度为：</w:t>
      </w:r>
      <w:r>
        <w:rPr>
          <w:i/>
          <w:sz w:val="24"/>
          <w:highlight w:val="none"/>
        </w:rPr>
        <w:t>U</w:t>
      </w:r>
      <w:r>
        <w:rPr>
          <w:sz w:val="24"/>
          <w:highlight w:val="none"/>
        </w:rPr>
        <w:t>(</w:t>
      </w:r>
      <w:r>
        <w:rPr>
          <w:i/>
          <w:iCs/>
          <w:sz w:val="24"/>
          <w:highlight w:val="none"/>
        </w:rPr>
        <w:t>λ</w:t>
      </w:r>
      <w:r>
        <w:rPr>
          <w:sz w:val="24"/>
          <w:highlight w:val="none"/>
        </w:rPr>
        <w:t>)=</w:t>
      </w:r>
      <w:r>
        <w:rPr>
          <w:rFonts w:hint="eastAsia" w:ascii="宋体" w:hAnsi="宋体" w:cs="宋体"/>
          <w:sz w:val="24"/>
          <w:highlight w:val="none"/>
          <w:lang w:val="en-US" w:eastAsia="zh-CN"/>
        </w:rPr>
        <w:t>1.</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 xml:space="preserve"> </w:t>
      </w:r>
      <w:r>
        <w:rPr>
          <w:sz w:val="24"/>
          <w:highlight w:val="none"/>
        </w:rPr>
        <w:t>nm</w:t>
      </w:r>
      <w:r>
        <w:rPr>
          <w:rFonts w:hint="eastAsia"/>
          <w:sz w:val="24"/>
          <w:highlight w:val="none"/>
          <w:lang w:val="en-US" w:eastAsia="zh-CN"/>
        </w:rPr>
        <w:t xml:space="preserve"> </w:t>
      </w:r>
      <w:r>
        <w:rPr>
          <w:sz w:val="24"/>
          <w:highlight w:val="none"/>
        </w:rPr>
        <w:t>(</w:t>
      </w:r>
      <w:r>
        <w:rPr>
          <w:i/>
          <w:sz w:val="24"/>
          <w:highlight w:val="none"/>
        </w:rPr>
        <w:t>k</w:t>
      </w:r>
      <w:r>
        <w:rPr>
          <w:sz w:val="24"/>
          <w:highlight w:val="none"/>
        </w:rPr>
        <w:t>=</w:t>
      </w:r>
      <w:r>
        <w:rPr>
          <w:rFonts w:hint="eastAsia" w:ascii="宋体" w:hAnsi="宋体" w:eastAsia="宋体" w:cs="宋体"/>
          <w:sz w:val="24"/>
          <w:highlight w:val="none"/>
        </w:rPr>
        <w:t>2</w:t>
      </w:r>
      <w:r>
        <w:rPr>
          <w:sz w:val="24"/>
          <w:highlight w:val="none"/>
        </w:rPr>
        <w:t>)。</w:t>
      </w:r>
    </w:p>
    <w:p w14:paraId="6FECF04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598C3B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061BBF7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56912B0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07643D4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7C8BE40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0C6F55A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76301D8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172EDE8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570324E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Style w:val="22"/>
          <w:rFonts w:hint="eastAsia" w:ascii="黑体" w:hAnsi="黑体" w:eastAsia="黑体"/>
          <w:sz w:val="28"/>
          <w:szCs w:val="28"/>
          <w:highlight w:val="none"/>
        </w:rPr>
      </w:pPr>
    </w:p>
    <w:p w14:paraId="3CEB86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b/>
          <w:bCs/>
          <w:sz w:val="28"/>
          <w:szCs w:val="28"/>
          <w:highlight w:val="none"/>
        </w:rPr>
      </w:pPr>
      <w:bookmarkStart w:id="74" w:name="_Toc31355"/>
      <w:r>
        <w:rPr>
          <w:rStyle w:val="22"/>
          <w:rFonts w:hint="eastAsia" w:ascii="黑体" w:hAnsi="黑体" w:eastAsia="黑体"/>
          <w:sz w:val="28"/>
          <w:szCs w:val="28"/>
          <w:highlight w:val="none"/>
        </w:rPr>
        <w:t>附录B</w:t>
      </w:r>
      <w:bookmarkEnd w:id="74"/>
    </w:p>
    <w:p w14:paraId="2478596C">
      <w:pPr>
        <w:spacing w:line="240" w:lineRule="auto"/>
        <w:jc w:val="center"/>
        <w:outlineLvl w:val="0"/>
        <w:rPr>
          <w:rFonts w:hint="eastAsia" w:ascii="黑体" w:hAnsi="黑体" w:eastAsia="黑体" w:cs="黑体"/>
          <w:b w:val="0"/>
          <w:bCs w:val="0"/>
          <w:color w:val="auto"/>
          <w:sz w:val="28"/>
          <w:szCs w:val="36"/>
          <w:highlight w:val="none"/>
          <w:lang w:val="en-US" w:eastAsia="zh-CN"/>
        </w:rPr>
      </w:pPr>
      <w:bookmarkStart w:id="75" w:name="_Toc31146"/>
      <w:bookmarkStart w:id="76" w:name="_Toc4306"/>
      <w:r>
        <w:rPr>
          <w:rFonts w:hint="eastAsia" w:ascii="黑体" w:hAnsi="黑体" w:eastAsia="黑体" w:cs="黑体"/>
          <w:b w:val="0"/>
          <w:bCs w:val="0"/>
          <w:color w:val="auto"/>
          <w:sz w:val="28"/>
          <w:szCs w:val="36"/>
          <w:highlight w:val="none"/>
          <w:lang w:val="en-US" w:eastAsia="zh-CN"/>
        </w:rPr>
        <w:t>校准原始记录格式</w:t>
      </w:r>
      <w:bookmarkEnd w:id="75"/>
      <w:bookmarkEnd w:id="76"/>
    </w:p>
    <w:p w14:paraId="60FCC5B8">
      <w:pPr>
        <w:widowControl w:val="0"/>
        <w:numPr>
          <w:ilvl w:val="0"/>
          <w:numId w:val="0"/>
        </w:numP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推荐性表格</w:t>
      </w:r>
      <w:r>
        <w:rPr>
          <w:rFonts w:hint="eastAsia" w:ascii="宋体" w:hAnsi="宋体" w:eastAsia="宋体" w:cs="宋体"/>
          <w:color w:val="auto"/>
          <w:sz w:val="21"/>
          <w:szCs w:val="21"/>
          <w:highlight w:val="none"/>
          <w:lang w:eastAsia="zh-CN"/>
        </w:rPr>
        <w:t>）</w:t>
      </w:r>
    </w:p>
    <w:p w14:paraId="5ACF19BD">
      <w:pPr>
        <w:widowControl w:val="0"/>
        <w:numPr>
          <w:ilvl w:val="0"/>
          <w:numId w:val="0"/>
        </w:numPr>
        <w:spacing w:line="360" w:lineRule="auto"/>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 xml:space="preserve">记录编号：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共  页</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第  页</w:t>
      </w:r>
    </w:p>
    <w:p w14:paraId="17CB960E">
      <w:pPr>
        <w:widowControl w:val="0"/>
        <w:numPr>
          <w:ilvl w:val="0"/>
          <w:numId w:val="1"/>
        </w:numPr>
        <w:spacing w:line="360" w:lineRule="auto"/>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送校信息</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5"/>
        <w:gridCol w:w="4535"/>
      </w:tblGrid>
      <w:tr w14:paraId="4EB7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35" w:type="dxa"/>
            <w:noWrap w:val="0"/>
            <w:vAlign w:val="top"/>
          </w:tcPr>
          <w:p w14:paraId="6FAE3CF0">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lang w:val="en-US" w:eastAsia="zh-CN"/>
              </w:rPr>
              <w:t>委托方名称：</w:t>
            </w:r>
          </w:p>
        </w:tc>
        <w:tc>
          <w:tcPr>
            <w:tcW w:w="4535" w:type="dxa"/>
            <w:noWrap w:val="0"/>
            <w:vAlign w:val="top"/>
          </w:tcPr>
          <w:p w14:paraId="3816E9B1">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lang w:val="en-US" w:eastAsia="zh-CN"/>
              </w:rPr>
              <w:t>委托方</w:t>
            </w: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none"/>
                <w:lang w:val="en-US" w:eastAsia="zh-CN"/>
              </w:rPr>
              <w:t>：</w:t>
            </w:r>
          </w:p>
        </w:tc>
      </w:tr>
      <w:tr w14:paraId="24CD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35" w:type="dxa"/>
            <w:noWrap w:val="0"/>
            <w:vAlign w:val="top"/>
          </w:tcPr>
          <w:p w14:paraId="578A87A4">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lang w:val="en-US" w:eastAsia="zh-CN"/>
              </w:rPr>
              <w:t>校准</w:t>
            </w: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none"/>
                <w:lang w:val="en-US" w:eastAsia="zh-CN"/>
              </w:rPr>
              <w:t>：</w:t>
            </w:r>
          </w:p>
        </w:tc>
        <w:tc>
          <w:tcPr>
            <w:tcW w:w="4535" w:type="dxa"/>
            <w:noWrap w:val="0"/>
            <w:vAlign w:val="top"/>
          </w:tcPr>
          <w:p w14:paraId="17FA5B5C">
            <w:pPr>
              <w:spacing w:line="24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lang w:val="en-US" w:eastAsia="zh-CN"/>
              </w:rPr>
              <w:t>仪器名称：</w:t>
            </w:r>
          </w:p>
        </w:tc>
      </w:tr>
      <w:tr w14:paraId="24AF3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35" w:type="dxa"/>
            <w:noWrap w:val="0"/>
            <w:vAlign w:val="top"/>
          </w:tcPr>
          <w:p w14:paraId="2E86DE14">
            <w:pPr>
              <w:spacing w:line="240" w:lineRule="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仪器型号：</w:t>
            </w:r>
          </w:p>
        </w:tc>
        <w:tc>
          <w:tcPr>
            <w:tcW w:w="4535" w:type="dxa"/>
            <w:noWrap w:val="0"/>
            <w:vAlign w:val="top"/>
          </w:tcPr>
          <w:p w14:paraId="4A3CCF64">
            <w:pPr>
              <w:spacing w:line="240" w:lineRule="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仪器编号：</w:t>
            </w:r>
          </w:p>
        </w:tc>
      </w:tr>
      <w:tr w14:paraId="0C8C8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35" w:type="dxa"/>
            <w:noWrap w:val="0"/>
            <w:vAlign w:val="top"/>
          </w:tcPr>
          <w:p w14:paraId="5E7249E0">
            <w:pPr>
              <w:spacing w:line="240" w:lineRule="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生产厂家：</w:t>
            </w:r>
          </w:p>
        </w:tc>
        <w:tc>
          <w:tcPr>
            <w:tcW w:w="4535" w:type="dxa"/>
            <w:noWrap w:val="0"/>
            <w:vAlign w:val="top"/>
          </w:tcPr>
          <w:p w14:paraId="7401128D">
            <w:pPr>
              <w:spacing w:line="240" w:lineRule="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测量范围：</w:t>
            </w:r>
          </w:p>
        </w:tc>
      </w:tr>
      <w:tr w14:paraId="649E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35" w:type="dxa"/>
            <w:noWrap w:val="0"/>
            <w:vAlign w:val="top"/>
          </w:tcPr>
          <w:p w14:paraId="518CA7A4">
            <w:pPr>
              <w:spacing w:line="240" w:lineRule="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送校日期：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日</w:t>
            </w:r>
          </w:p>
        </w:tc>
        <w:tc>
          <w:tcPr>
            <w:tcW w:w="4535" w:type="dxa"/>
            <w:noWrap w:val="0"/>
            <w:vAlign w:val="top"/>
          </w:tcPr>
          <w:p w14:paraId="5E9B694F">
            <w:pPr>
              <w:spacing w:line="240" w:lineRule="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校准日期：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日</w:t>
            </w:r>
          </w:p>
        </w:tc>
      </w:tr>
    </w:tbl>
    <w:p w14:paraId="6DA2DA1E">
      <w:pPr>
        <w:widowControl w:val="0"/>
        <w:numPr>
          <w:ilvl w:val="0"/>
          <w:numId w:val="0"/>
        </w:numPr>
        <w:spacing w:line="360" w:lineRule="auto"/>
        <w:jc w:val="both"/>
        <w:rPr>
          <w:rFonts w:hint="eastAsia" w:ascii="宋体" w:hAnsi="宋体" w:eastAsia="宋体" w:cs="宋体"/>
          <w:color w:val="auto"/>
          <w:sz w:val="21"/>
          <w:szCs w:val="21"/>
          <w:highlight w:val="none"/>
          <w:u w:val="none"/>
          <w:lang w:val="en-US" w:eastAsia="zh-CN"/>
        </w:rPr>
      </w:pPr>
    </w:p>
    <w:p w14:paraId="16027815">
      <w:pPr>
        <w:widowControl w:val="0"/>
        <w:numPr>
          <w:ilvl w:val="0"/>
          <w:numId w:val="1"/>
        </w:numPr>
        <w:spacing w:line="360" w:lineRule="auto"/>
        <w:ind w:left="0" w:lef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校准信息</w:t>
      </w:r>
    </w:p>
    <w:tbl>
      <w:tblPr>
        <w:tblStyle w:val="17"/>
        <w:tblpPr w:leftFromText="180" w:rightFromText="180" w:vertAnchor="text" w:horzAnchor="page" w:tblpXSpec="center" w:tblpY="18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9"/>
        <w:gridCol w:w="2238"/>
        <w:gridCol w:w="2833"/>
      </w:tblGrid>
      <w:tr w14:paraId="3CEE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69" w:type="dxa"/>
            <w:noWrap w:val="0"/>
            <w:vAlign w:val="top"/>
          </w:tcPr>
          <w:p w14:paraId="4552B757">
            <w:pPr>
              <w:numPr>
                <w:ilvl w:val="0"/>
                <w:numId w:val="0"/>
              </w:numPr>
              <w:spacing w:line="36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校准证书编号：</w:t>
            </w:r>
          </w:p>
        </w:tc>
        <w:tc>
          <w:tcPr>
            <w:tcW w:w="5071" w:type="dxa"/>
            <w:gridSpan w:val="2"/>
            <w:noWrap w:val="0"/>
            <w:vAlign w:val="top"/>
          </w:tcPr>
          <w:p w14:paraId="18AB2630">
            <w:pPr>
              <w:numPr>
                <w:ilvl w:val="0"/>
                <w:numId w:val="0"/>
              </w:numPr>
              <w:spacing w:line="36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校准依据：</w:t>
            </w:r>
          </w:p>
        </w:tc>
      </w:tr>
      <w:tr w14:paraId="6C59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69" w:type="dxa"/>
            <w:noWrap w:val="0"/>
            <w:vAlign w:val="top"/>
          </w:tcPr>
          <w:p w14:paraId="4245E537">
            <w:pPr>
              <w:numPr>
                <w:ilvl w:val="0"/>
                <w:numId w:val="0"/>
              </w:numPr>
              <w:spacing w:line="36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外观检查：</w:t>
            </w:r>
          </w:p>
        </w:tc>
        <w:tc>
          <w:tcPr>
            <w:tcW w:w="2238" w:type="dxa"/>
            <w:noWrap w:val="0"/>
            <w:vAlign w:val="top"/>
          </w:tcPr>
          <w:p w14:paraId="5D7B5DD1">
            <w:pPr>
              <w:numPr>
                <w:ilvl w:val="0"/>
                <w:numId w:val="0"/>
              </w:numPr>
              <w:spacing w:line="36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lang w:val="en-US" w:eastAsia="zh-CN"/>
              </w:rPr>
              <w:t>环境温度：</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p>
        </w:tc>
        <w:tc>
          <w:tcPr>
            <w:tcW w:w="2833" w:type="dxa"/>
            <w:noWrap w:val="0"/>
            <w:vAlign w:val="top"/>
          </w:tcPr>
          <w:p w14:paraId="53DF4BF1">
            <w:pPr>
              <w:numPr>
                <w:ilvl w:val="0"/>
                <w:numId w:val="0"/>
              </w:numPr>
              <w:spacing w:line="360" w:lineRule="auto"/>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lang w:val="en-US" w:eastAsia="zh-CN"/>
              </w:rPr>
              <w:t>环境相对湿度：</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 </w:t>
            </w:r>
          </w:p>
        </w:tc>
      </w:tr>
    </w:tbl>
    <w:p w14:paraId="6B18844F">
      <w:pPr>
        <w:widowControl w:val="0"/>
        <w:numPr>
          <w:ilvl w:val="0"/>
          <w:numId w:val="0"/>
        </w:numPr>
        <w:spacing w:line="360" w:lineRule="auto"/>
        <w:jc w:val="both"/>
        <w:rPr>
          <w:rFonts w:hint="eastAsia" w:ascii="宋体" w:hAnsi="宋体" w:eastAsia="宋体" w:cs="宋体"/>
          <w:color w:val="auto"/>
          <w:sz w:val="21"/>
          <w:szCs w:val="21"/>
          <w:highlight w:val="none"/>
          <w:u w:val="none"/>
          <w:lang w:val="en-US" w:eastAsia="zh-CN"/>
        </w:rPr>
      </w:pPr>
    </w:p>
    <w:p w14:paraId="484ABDBD">
      <w:pPr>
        <w:numPr>
          <w:ilvl w:val="0"/>
          <w:numId w:val="2"/>
        </w:numPr>
        <w:spacing w:line="360" w:lineRule="auto"/>
        <w:ind w:leftChars="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标准物质</w:t>
      </w:r>
      <w:r>
        <w:rPr>
          <w:rFonts w:hint="eastAsia" w:ascii="宋体" w:hAnsi="宋体" w:cs="宋体"/>
          <w:color w:val="auto"/>
          <w:sz w:val="21"/>
          <w:szCs w:val="21"/>
          <w:highlight w:val="none"/>
          <w:u w:val="none"/>
          <w:lang w:val="en-US" w:eastAsia="zh-CN"/>
        </w:rPr>
        <w:t>/标准器</w:t>
      </w:r>
      <w:r>
        <w:rPr>
          <w:rFonts w:hint="eastAsia" w:ascii="宋体" w:hAnsi="宋体" w:eastAsia="宋体" w:cs="宋体"/>
          <w:color w:val="auto"/>
          <w:sz w:val="21"/>
          <w:szCs w:val="21"/>
          <w:highlight w:val="none"/>
          <w:u w:val="none"/>
          <w:lang w:val="en-US" w:eastAsia="zh-CN"/>
        </w:rPr>
        <w:t>信息</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2"/>
        <w:gridCol w:w="1137"/>
        <w:gridCol w:w="1150"/>
        <w:gridCol w:w="2430"/>
        <w:gridCol w:w="1258"/>
        <w:gridCol w:w="1133"/>
      </w:tblGrid>
      <w:tr w14:paraId="0E4E9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22" w:type="dxa"/>
            <w:noWrap w:val="0"/>
            <w:vAlign w:val="center"/>
          </w:tcPr>
          <w:p w14:paraId="296BC9BF">
            <w:pPr>
              <w:numPr>
                <w:ilvl w:val="0"/>
                <w:numId w:val="0"/>
              </w:numPr>
              <w:spacing w:line="240" w:lineRule="auto"/>
              <w:jc w:val="center"/>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lang w:val="en-US" w:eastAsia="zh-CN"/>
              </w:rPr>
              <w:t>有证标准物质</w:t>
            </w:r>
            <w:r>
              <w:rPr>
                <w:rFonts w:hint="eastAsia" w:ascii="宋体" w:hAnsi="宋体" w:eastAsia="宋体" w:cs="宋体"/>
                <w:color w:val="auto"/>
                <w:sz w:val="21"/>
                <w:szCs w:val="21"/>
                <w:highlight w:val="none"/>
                <w:u w:val="none"/>
                <w:vertAlign w:val="baseline"/>
                <w:lang w:val="en-US" w:eastAsia="zh-CN"/>
              </w:rPr>
              <w:t>名称</w:t>
            </w:r>
          </w:p>
        </w:tc>
        <w:tc>
          <w:tcPr>
            <w:tcW w:w="1137" w:type="dxa"/>
            <w:noWrap w:val="0"/>
            <w:vAlign w:val="center"/>
          </w:tcPr>
          <w:p w14:paraId="26AF92E9">
            <w:pPr>
              <w:numPr>
                <w:ilvl w:val="0"/>
                <w:numId w:val="0"/>
              </w:numPr>
              <w:spacing w:line="240" w:lineRule="auto"/>
              <w:jc w:val="center"/>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型号规格</w:t>
            </w:r>
          </w:p>
        </w:tc>
        <w:tc>
          <w:tcPr>
            <w:tcW w:w="1150" w:type="dxa"/>
            <w:noWrap w:val="0"/>
            <w:vAlign w:val="center"/>
          </w:tcPr>
          <w:p w14:paraId="089444ED">
            <w:pPr>
              <w:numPr>
                <w:ilvl w:val="0"/>
                <w:numId w:val="0"/>
              </w:numPr>
              <w:spacing w:line="240" w:lineRule="auto"/>
              <w:jc w:val="center"/>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出厂编号</w:t>
            </w:r>
          </w:p>
        </w:tc>
        <w:tc>
          <w:tcPr>
            <w:tcW w:w="2430" w:type="dxa"/>
            <w:noWrap w:val="0"/>
            <w:vAlign w:val="center"/>
          </w:tcPr>
          <w:p w14:paraId="230B0788">
            <w:pPr>
              <w:numPr>
                <w:ilvl w:val="0"/>
                <w:numId w:val="0"/>
              </w:numPr>
              <w:spacing w:line="240" w:lineRule="auto"/>
              <w:jc w:val="center"/>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不确定度/准确度等级</w:t>
            </w:r>
          </w:p>
        </w:tc>
        <w:tc>
          <w:tcPr>
            <w:tcW w:w="1258" w:type="dxa"/>
            <w:noWrap w:val="0"/>
            <w:vAlign w:val="center"/>
          </w:tcPr>
          <w:p w14:paraId="3A03612E">
            <w:pPr>
              <w:numPr>
                <w:ilvl w:val="0"/>
                <w:numId w:val="0"/>
              </w:numPr>
              <w:spacing w:line="240" w:lineRule="auto"/>
              <w:jc w:val="center"/>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证书编号</w:t>
            </w:r>
          </w:p>
        </w:tc>
        <w:tc>
          <w:tcPr>
            <w:tcW w:w="1133" w:type="dxa"/>
            <w:noWrap w:val="0"/>
            <w:vAlign w:val="center"/>
          </w:tcPr>
          <w:p w14:paraId="7DC6715A">
            <w:pPr>
              <w:numPr>
                <w:ilvl w:val="0"/>
                <w:numId w:val="0"/>
              </w:numPr>
              <w:spacing w:line="240" w:lineRule="auto"/>
              <w:jc w:val="center"/>
              <w:rPr>
                <w:rFonts w:hint="eastAsia" w:ascii="宋体" w:hAnsi="宋体" w:eastAsia="宋体" w:cs="宋体"/>
                <w:color w:val="auto"/>
                <w:sz w:val="21"/>
                <w:szCs w:val="21"/>
                <w:highlight w:val="none"/>
                <w:u w:val="none"/>
                <w:vertAlign w:val="baseline"/>
                <w:lang w:val="en-US" w:eastAsia="zh-CN"/>
              </w:rPr>
            </w:pPr>
            <w:r>
              <w:rPr>
                <w:rFonts w:hint="eastAsia" w:ascii="宋体" w:hAnsi="宋体" w:eastAsia="宋体" w:cs="宋体"/>
                <w:color w:val="auto"/>
                <w:sz w:val="21"/>
                <w:szCs w:val="21"/>
                <w:highlight w:val="none"/>
                <w:u w:val="none"/>
                <w:vertAlign w:val="baseline"/>
                <w:lang w:val="en-US" w:eastAsia="zh-CN"/>
              </w:rPr>
              <w:t>有效日期</w:t>
            </w:r>
          </w:p>
        </w:tc>
      </w:tr>
      <w:tr w14:paraId="4E27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22" w:type="dxa"/>
            <w:noWrap w:val="0"/>
            <w:vAlign w:val="top"/>
          </w:tcPr>
          <w:p w14:paraId="384A89BB">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37" w:type="dxa"/>
            <w:noWrap w:val="0"/>
            <w:vAlign w:val="top"/>
          </w:tcPr>
          <w:p w14:paraId="32A7CBFE">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50" w:type="dxa"/>
            <w:noWrap w:val="0"/>
            <w:vAlign w:val="top"/>
          </w:tcPr>
          <w:p w14:paraId="25DB560A">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2430" w:type="dxa"/>
            <w:noWrap w:val="0"/>
            <w:vAlign w:val="top"/>
          </w:tcPr>
          <w:p w14:paraId="58D49A54">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258" w:type="dxa"/>
            <w:noWrap w:val="0"/>
            <w:vAlign w:val="top"/>
          </w:tcPr>
          <w:p w14:paraId="2D478D6D">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33" w:type="dxa"/>
            <w:noWrap w:val="0"/>
            <w:vAlign w:val="top"/>
          </w:tcPr>
          <w:p w14:paraId="186D95B5">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r>
      <w:tr w14:paraId="6D2F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22" w:type="dxa"/>
            <w:noWrap w:val="0"/>
            <w:vAlign w:val="top"/>
          </w:tcPr>
          <w:p w14:paraId="0C2A9A39">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37" w:type="dxa"/>
            <w:noWrap w:val="0"/>
            <w:vAlign w:val="top"/>
          </w:tcPr>
          <w:p w14:paraId="6D720917">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50" w:type="dxa"/>
            <w:noWrap w:val="0"/>
            <w:vAlign w:val="top"/>
          </w:tcPr>
          <w:p w14:paraId="74FEF670">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2430" w:type="dxa"/>
            <w:noWrap w:val="0"/>
            <w:vAlign w:val="top"/>
          </w:tcPr>
          <w:p w14:paraId="21531A58">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258" w:type="dxa"/>
            <w:noWrap w:val="0"/>
            <w:vAlign w:val="top"/>
          </w:tcPr>
          <w:p w14:paraId="48B21BEE">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33" w:type="dxa"/>
            <w:noWrap w:val="0"/>
            <w:vAlign w:val="top"/>
          </w:tcPr>
          <w:p w14:paraId="5D25A883">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r>
      <w:tr w14:paraId="4EF7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22" w:type="dxa"/>
            <w:noWrap w:val="0"/>
            <w:vAlign w:val="top"/>
          </w:tcPr>
          <w:p w14:paraId="256CF4FA">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37" w:type="dxa"/>
            <w:noWrap w:val="0"/>
            <w:vAlign w:val="top"/>
          </w:tcPr>
          <w:p w14:paraId="6B056105">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50" w:type="dxa"/>
            <w:noWrap w:val="0"/>
            <w:vAlign w:val="top"/>
          </w:tcPr>
          <w:p w14:paraId="0EEAF44F">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2430" w:type="dxa"/>
            <w:noWrap w:val="0"/>
            <w:vAlign w:val="top"/>
          </w:tcPr>
          <w:p w14:paraId="341608F0">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258" w:type="dxa"/>
            <w:noWrap w:val="0"/>
            <w:vAlign w:val="top"/>
          </w:tcPr>
          <w:p w14:paraId="27E9BC2B">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c>
          <w:tcPr>
            <w:tcW w:w="1133" w:type="dxa"/>
            <w:noWrap w:val="0"/>
            <w:vAlign w:val="top"/>
          </w:tcPr>
          <w:p w14:paraId="35326EA7">
            <w:pPr>
              <w:numPr>
                <w:ilvl w:val="0"/>
                <w:numId w:val="0"/>
              </w:numPr>
              <w:spacing w:line="240" w:lineRule="auto"/>
              <w:rPr>
                <w:rFonts w:hint="eastAsia" w:ascii="宋体" w:hAnsi="宋体" w:eastAsia="宋体" w:cs="宋体"/>
                <w:color w:val="auto"/>
                <w:sz w:val="21"/>
                <w:szCs w:val="21"/>
                <w:highlight w:val="none"/>
                <w:u w:val="none"/>
                <w:vertAlign w:val="baseline"/>
                <w:lang w:val="en-US" w:eastAsia="zh-CN"/>
              </w:rPr>
            </w:pPr>
          </w:p>
        </w:tc>
      </w:tr>
    </w:tbl>
    <w:p w14:paraId="36D618FA">
      <w:pPr>
        <w:widowControl w:val="0"/>
        <w:numPr>
          <w:ilvl w:val="0"/>
          <w:numId w:val="0"/>
        </w:numPr>
        <w:spacing w:line="360" w:lineRule="auto"/>
        <w:ind w:leftChars="0"/>
        <w:jc w:val="both"/>
        <w:rPr>
          <w:rFonts w:hint="eastAsia" w:ascii="宋体" w:hAnsi="宋体" w:eastAsia="宋体" w:cs="宋体"/>
          <w:color w:val="auto"/>
          <w:sz w:val="21"/>
          <w:szCs w:val="21"/>
          <w:highlight w:val="none"/>
          <w:u w:val="none"/>
          <w:lang w:val="en-US" w:eastAsia="zh-CN"/>
        </w:rPr>
      </w:pPr>
    </w:p>
    <w:p w14:paraId="10BA18AF">
      <w:pPr>
        <w:widowControl w:val="0"/>
        <w:numPr>
          <w:ilvl w:val="0"/>
          <w:numId w:val="2"/>
        </w:numPr>
        <w:spacing w:line="360" w:lineRule="auto"/>
        <w:ind w:left="0" w:lef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荧光相对强度校准曲线</w:t>
      </w:r>
    </w:p>
    <w:tbl>
      <w:tblPr>
        <w:tblStyle w:val="1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1"/>
        <w:gridCol w:w="732"/>
        <w:gridCol w:w="735"/>
        <w:gridCol w:w="736"/>
        <w:gridCol w:w="736"/>
        <w:gridCol w:w="755"/>
        <w:gridCol w:w="846"/>
        <w:gridCol w:w="846"/>
        <w:gridCol w:w="1056"/>
        <w:gridCol w:w="1887"/>
      </w:tblGrid>
      <w:tr w14:paraId="1D75F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857C1">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波长/nm</w:t>
            </w:r>
          </w:p>
        </w:tc>
        <w:tc>
          <w:tcPr>
            <w:tcW w:w="23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9986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标准物质荧光相对强度测量值</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F88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平均值</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E0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标准值</w:t>
            </w:r>
          </w:p>
        </w:tc>
        <w:tc>
          <w:tcPr>
            <w:tcW w:w="56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9EF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校准因子</w:t>
            </w:r>
          </w:p>
        </w:tc>
        <w:tc>
          <w:tcPr>
            <w:tcW w:w="567" w:type="pct"/>
            <w:vMerge w:val="restart"/>
            <w:tcBorders>
              <w:top w:val="single" w:color="000000" w:sz="4" w:space="0"/>
              <w:left w:val="single" w:color="000000" w:sz="4" w:space="0"/>
              <w:right w:val="single" w:color="000000" w:sz="4" w:space="0"/>
            </w:tcBorders>
            <w:shd w:val="clear" w:color="auto" w:fill="auto"/>
            <w:noWrap/>
            <w:vAlign w:val="center"/>
          </w:tcPr>
          <w:p w14:paraId="1E9437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相对扩展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不确定度</w:t>
            </w:r>
          </w:p>
          <w:p w14:paraId="485E0037">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 xml:space="preserve"> </w:t>
            </w: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r>
      <w:tr w14:paraId="2170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A852">
            <w:pPr>
              <w:jc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81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6E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3C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8B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446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956C">
            <w:pPr>
              <w:jc w:val="center"/>
              <w:rPr>
                <w:rFonts w:hint="eastAsia" w:ascii="宋体" w:hAnsi="宋体" w:eastAsia="宋体" w:cs="宋体"/>
                <w:i w:val="0"/>
                <w:iCs w:val="0"/>
                <w:color w:val="000000"/>
                <w:sz w:val="21"/>
                <w:szCs w:val="21"/>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4E511">
            <w:pPr>
              <w:jc w:val="center"/>
              <w:rPr>
                <w:rFonts w:hint="eastAsia" w:ascii="宋体" w:hAnsi="宋体" w:eastAsia="宋体" w:cs="宋体"/>
                <w:i w:val="0"/>
                <w:iCs w:val="0"/>
                <w:color w:val="000000"/>
                <w:sz w:val="21"/>
                <w:szCs w:val="21"/>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B21F">
            <w:pPr>
              <w:jc w:val="center"/>
              <w:rPr>
                <w:rFonts w:hint="eastAsia" w:ascii="宋体" w:hAnsi="宋体" w:eastAsia="宋体" w:cs="宋体"/>
                <w:i w:val="0"/>
                <w:iCs w:val="0"/>
                <w:color w:val="000000"/>
                <w:sz w:val="21"/>
                <w:szCs w:val="21"/>
                <w:u w:val="none"/>
              </w:rPr>
            </w:pPr>
          </w:p>
        </w:tc>
        <w:tc>
          <w:tcPr>
            <w:tcW w:w="567" w:type="pct"/>
            <w:vMerge w:val="continue"/>
            <w:tcBorders>
              <w:left w:val="single" w:color="000000" w:sz="4" w:space="0"/>
              <w:bottom w:val="single" w:color="000000" w:sz="4" w:space="0"/>
              <w:right w:val="single" w:color="000000" w:sz="4" w:space="0"/>
            </w:tcBorders>
            <w:shd w:val="clear" w:color="auto" w:fill="auto"/>
            <w:noWrap/>
            <w:vAlign w:val="center"/>
          </w:tcPr>
          <w:p w14:paraId="63930E31">
            <w:pPr>
              <w:jc w:val="center"/>
              <w:rPr>
                <w:rFonts w:hint="eastAsia" w:ascii="宋体" w:hAnsi="宋体" w:eastAsia="宋体" w:cs="宋体"/>
                <w:i w:val="0"/>
                <w:iCs w:val="0"/>
                <w:color w:val="000000"/>
                <w:sz w:val="21"/>
                <w:szCs w:val="21"/>
                <w:u w:val="none"/>
              </w:rPr>
            </w:pPr>
          </w:p>
        </w:tc>
      </w:tr>
      <w:tr w14:paraId="2C03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720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AA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EFF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29F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E4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67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F7F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848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6A3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59D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C28D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06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AC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FCD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726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9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553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E9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A6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9F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B3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92BB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F9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2C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030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F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89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0A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86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61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1E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623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314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22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53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B8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F67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CB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C6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287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3C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69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8B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4390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354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C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9F3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1E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756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20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6C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D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4D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47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A9C0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AF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AA3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74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721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90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4BF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483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D3F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916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E1E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78D48667">
      <w:pPr>
        <w:widowControl w:val="0"/>
        <w:numPr>
          <w:ilvl w:val="0"/>
          <w:numId w:val="0"/>
        </w:numPr>
        <w:spacing w:line="360" w:lineRule="auto"/>
        <w:ind w:leftChars="0"/>
        <w:jc w:val="both"/>
        <w:rPr>
          <w:rFonts w:hint="eastAsia" w:ascii="宋体" w:hAnsi="宋体" w:eastAsia="宋体" w:cs="宋体"/>
          <w:color w:val="auto"/>
          <w:sz w:val="21"/>
          <w:szCs w:val="21"/>
          <w:highlight w:val="none"/>
          <w:u w:val="none"/>
          <w:lang w:val="en-US" w:eastAsia="zh-CN"/>
        </w:rPr>
      </w:pPr>
    </w:p>
    <w:p w14:paraId="6A222D55">
      <w:pPr>
        <w:widowControl w:val="0"/>
        <w:numPr>
          <w:ilvl w:val="0"/>
          <w:numId w:val="2"/>
        </w:numPr>
        <w:spacing w:line="360" w:lineRule="auto"/>
        <w:ind w:left="0" w:lef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荧光相对强度测量重复性</w:t>
      </w:r>
    </w:p>
    <w:tbl>
      <w:tblPr>
        <w:tblStyle w:val="1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4"/>
        <w:gridCol w:w="930"/>
        <w:gridCol w:w="930"/>
        <w:gridCol w:w="931"/>
        <w:gridCol w:w="931"/>
        <w:gridCol w:w="951"/>
        <w:gridCol w:w="931"/>
        <w:gridCol w:w="1266"/>
        <w:gridCol w:w="1248"/>
      </w:tblGrid>
      <w:tr w14:paraId="299D0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58D1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波长/nm</w:t>
            </w:r>
          </w:p>
        </w:tc>
        <w:tc>
          <w:tcPr>
            <w:tcW w:w="25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22AA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荧光相对强度测量值</w:t>
            </w:r>
          </w:p>
        </w:tc>
        <w:tc>
          <w:tcPr>
            <w:tcW w:w="50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52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平均值</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09F3">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color w:val="auto"/>
                <w:sz w:val="21"/>
                <w:szCs w:val="21"/>
                <w:highlight w:val="none"/>
              </w:rPr>
              <w:t>测量重复性</w:t>
            </w:r>
          </w:p>
        </w:tc>
        <w:tc>
          <w:tcPr>
            <w:tcW w:w="672" w:type="pct"/>
            <w:vMerge w:val="restart"/>
            <w:tcBorders>
              <w:top w:val="single" w:color="000000" w:sz="4" w:space="0"/>
              <w:left w:val="single" w:color="000000" w:sz="4" w:space="0"/>
              <w:right w:val="single" w:color="000000" w:sz="4" w:space="0"/>
            </w:tcBorders>
            <w:shd w:val="clear" w:color="auto" w:fill="auto"/>
            <w:noWrap/>
            <w:vAlign w:val="center"/>
          </w:tcPr>
          <w:p w14:paraId="052A4E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相对</w:t>
            </w:r>
            <w:r>
              <w:rPr>
                <w:rFonts w:hint="eastAsia" w:ascii="宋体" w:hAnsi="宋体" w:eastAsia="宋体" w:cs="宋体"/>
                <w:i w:val="0"/>
                <w:iCs w:val="0"/>
                <w:color w:val="000000"/>
                <w:kern w:val="0"/>
                <w:sz w:val="21"/>
                <w:szCs w:val="21"/>
                <w:u w:val="none"/>
                <w:lang w:val="en-US" w:eastAsia="zh-CN" w:bidi="ar"/>
              </w:rPr>
              <w:t>扩展</w:t>
            </w:r>
          </w:p>
          <w:p w14:paraId="7CB3E1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不确定度</w:t>
            </w:r>
          </w:p>
          <w:p w14:paraId="6F3A21C5">
            <w:pPr>
              <w:keepNext w:val="0"/>
              <w:keepLines w:val="0"/>
              <w:widowControl/>
              <w:suppressLineNumbers w:val="0"/>
              <w:jc w:val="center"/>
              <w:textAlignment w:val="center"/>
              <w:rPr>
                <w:sz w:val="21"/>
                <w:szCs w:val="21"/>
                <w:highlight w:val="none"/>
              </w:rPr>
            </w:pPr>
            <w:r>
              <w:rPr>
                <w:i/>
                <w:sz w:val="21"/>
                <w:szCs w:val="21"/>
                <w:highlight w:val="none"/>
              </w:rPr>
              <w:t>U</w:t>
            </w:r>
            <w:r>
              <w:rPr>
                <w:iCs/>
                <w:sz w:val="21"/>
                <w:szCs w:val="21"/>
                <w:highlight w:val="none"/>
                <w:vertAlign w:val="subscript"/>
              </w:rPr>
              <w:t>rel</w:t>
            </w:r>
            <w:r>
              <w:rPr>
                <w:sz w:val="21"/>
                <w:szCs w:val="21"/>
                <w:highlight w:val="none"/>
              </w:rPr>
              <w:t>(</w:t>
            </w:r>
            <w:r>
              <w:rPr>
                <w:rFonts w:hint="eastAsia"/>
                <w:i/>
                <w:iCs/>
                <w:sz w:val="21"/>
                <w:szCs w:val="21"/>
                <w:highlight w:val="none"/>
                <w:lang w:val="en-US" w:eastAsia="zh-CN"/>
              </w:rPr>
              <w:t>I</w:t>
            </w:r>
            <w:r>
              <w:rPr>
                <w:rFonts w:hint="eastAsia"/>
                <w:i w:val="0"/>
                <w:iCs w:val="0"/>
                <w:sz w:val="21"/>
                <w:szCs w:val="21"/>
                <w:highlight w:val="none"/>
                <w:vertAlign w:val="subscript"/>
                <w:lang w:val="en-US" w:eastAsia="zh-CN"/>
              </w:rPr>
              <w:t>xc</w:t>
            </w:r>
            <w:r>
              <w:rPr>
                <w:rFonts w:hint="eastAsia"/>
                <w:sz w:val="21"/>
                <w:szCs w:val="21"/>
                <w:highlight w:val="none"/>
                <w:vertAlign w:val="baseline"/>
                <w:lang w:val="en-US" w:eastAsia="zh-CN"/>
              </w:rPr>
              <w:t>(</w:t>
            </w:r>
            <w:r>
              <w:rPr>
                <w:i/>
                <w:iCs/>
                <w:sz w:val="21"/>
                <w:szCs w:val="21"/>
                <w:highlight w:val="none"/>
              </w:rPr>
              <w:t>λ</w:t>
            </w:r>
            <w:r>
              <w:rPr>
                <w:rFonts w:hint="eastAsia"/>
                <w:sz w:val="21"/>
                <w:szCs w:val="21"/>
                <w:highlight w:val="none"/>
                <w:vertAlign w:val="baseline"/>
                <w:lang w:val="en-US" w:eastAsia="zh-CN"/>
              </w:rPr>
              <w:t>)</w:t>
            </w:r>
            <w:r>
              <w:rPr>
                <w:sz w:val="21"/>
                <w:szCs w:val="21"/>
                <w:highlight w:val="none"/>
              </w:rPr>
              <w:t>)</w:t>
            </w:r>
          </w:p>
          <w:p w14:paraId="5DD767BC">
            <w:pPr>
              <w:keepNext w:val="0"/>
              <w:keepLines w:val="0"/>
              <w:widowControl/>
              <w:suppressLineNumbers w:val="0"/>
              <w:jc w:val="center"/>
              <w:textAlignment w:val="center"/>
              <w:rPr>
                <w:rFonts w:hint="default" w:ascii="宋体" w:hAnsi="宋体" w:eastAsia="宋体" w:cs="宋体"/>
                <w:color w:val="auto"/>
                <w:sz w:val="21"/>
                <w:szCs w:val="21"/>
                <w:highlight w:val="none"/>
                <w:lang w:val="en-US" w:eastAsia="zh-CN"/>
              </w:rPr>
            </w:pP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r>
      <w:tr w14:paraId="11FB3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BB11">
            <w:pPr>
              <w:jc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C5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9A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89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FF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E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0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536B">
            <w:pPr>
              <w:jc w:val="center"/>
              <w:rPr>
                <w:rFonts w:hint="eastAsia" w:ascii="宋体" w:hAnsi="宋体" w:eastAsia="宋体" w:cs="宋体"/>
                <w:i w:val="0"/>
                <w:iCs w:val="0"/>
                <w:color w:val="000000"/>
                <w:sz w:val="21"/>
                <w:szCs w:val="21"/>
                <w:u w:val="none"/>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CC252">
            <w:pPr>
              <w:jc w:val="center"/>
              <w:rPr>
                <w:rFonts w:hint="eastAsia" w:ascii="宋体" w:hAnsi="宋体" w:eastAsia="宋体" w:cs="宋体"/>
                <w:i w:val="0"/>
                <w:iCs w:val="0"/>
                <w:color w:val="000000"/>
                <w:sz w:val="21"/>
                <w:szCs w:val="21"/>
                <w:u w:val="none"/>
              </w:rPr>
            </w:pPr>
          </w:p>
        </w:tc>
        <w:tc>
          <w:tcPr>
            <w:tcW w:w="672" w:type="pct"/>
            <w:vMerge w:val="continue"/>
            <w:tcBorders>
              <w:left w:val="single" w:color="000000" w:sz="4" w:space="0"/>
              <w:bottom w:val="single" w:color="000000" w:sz="4" w:space="0"/>
              <w:right w:val="single" w:color="000000" w:sz="4" w:space="0"/>
            </w:tcBorders>
            <w:shd w:val="clear" w:color="auto" w:fill="auto"/>
            <w:noWrap/>
            <w:vAlign w:val="center"/>
          </w:tcPr>
          <w:p w14:paraId="4A0DEC22">
            <w:pPr>
              <w:jc w:val="center"/>
              <w:rPr>
                <w:rFonts w:hint="eastAsia" w:ascii="宋体" w:hAnsi="宋体" w:eastAsia="宋体" w:cs="宋体"/>
                <w:i w:val="0"/>
                <w:iCs w:val="0"/>
                <w:color w:val="000000"/>
                <w:sz w:val="21"/>
                <w:szCs w:val="21"/>
                <w:u w:val="none"/>
              </w:rPr>
            </w:pPr>
          </w:p>
        </w:tc>
      </w:tr>
      <w:tr w14:paraId="41B9F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C9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B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11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A8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FFA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4B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39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9A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29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FDDF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0D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60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DCE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F4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591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52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9C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8D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BAB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4BCF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3F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C2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5DD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C74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D1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2F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F51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1F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62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C595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3BE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7B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21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54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D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24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4F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3DD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678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0B7A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C6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95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BB2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27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F2A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3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D6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A2F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3F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C419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1F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70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F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9B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ED8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E3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45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69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CEC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58D37B5E">
      <w:pPr>
        <w:widowControl w:val="0"/>
        <w:numPr>
          <w:ilvl w:val="0"/>
          <w:numId w:val="0"/>
        </w:numPr>
        <w:spacing w:line="360" w:lineRule="auto"/>
        <w:ind w:leftChars="0"/>
        <w:jc w:val="both"/>
        <w:rPr>
          <w:rFonts w:hint="eastAsia" w:ascii="宋体" w:hAnsi="宋体" w:eastAsia="宋体" w:cs="宋体"/>
          <w:color w:val="auto"/>
          <w:sz w:val="21"/>
          <w:szCs w:val="21"/>
          <w:highlight w:val="none"/>
          <w:u w:val="none"/>
          <w:lang w:val="en-US" w:eastAsia="zh-CN"/>
        </w:rPr>
      </w:pPr>
    </w:p>
    <w:p w14:paraId="0A1D3328">
      <w:pPr>
        <w:widowControl w:val="0"/>
        <w:numPr>
          <w:ilvl w:val="0"/>
          <w:numId w:val="2"/>
        </w:numPr>
        <w:spacing w:line="360" w:lineRule="auto"/>
        <w:ind w:left="0" w:lef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荧光发射光谱峰值波长测量重复性</w:t>
      </w:r>
    </w:p>
    <w:tbl>
      <w:tblPr>
        <w:tblStyle w:val="1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0"/>
        <w:gridCol w:w="1000"/>
        <w:gridCol w:w="1000"/>
        <w:gridCol w:w="1000"/>
        <w:gridCol w:w="1024"/>
        <w:gridCol w:w="1174"/>
        <w:gridCol w:w="1594"/>
        <w:gridCol w:w="1490"/>
      </w:tblGrid>
      <w:tr w14:paraId="2DEF0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5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7A4F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sz w:val="21"/>
                <w:szCs w:val="21"/>
                <w:highlight w:val="none"/>
              </w:rPr>
              <w:t>测量值</w:t>
            </w:r>
            <w:r>
              <w:rPr>
                <w:rFonts w:hint="eastAsia"/>
                <w:sz w:val="21"/>
                <w:szCs w:val="21"/>
                <w:highlight w:val="none"/>
                <w:lang w:val="en-US" w:eastAsia="zh-CN"/>
              </w:rPr>
              <w:t>/nm</w:t>
            </w:r>
          </w:p>
        </w:tc>
        <w:tc>
          <w:tcPr>
            <w:tcW w:w="50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FA3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平均值</w:t>
            </w:r>
            <w:r>
              <w:rPr>
                <w:rFonts w:hint="eastAsia"/>
                <w:sz w:val="21"/>
                <w:szCs w:val="21"/>
                <w:highlight w:val="none"/>
                <w:lang w:val="en-US" w:eastAsia="zh-CN"/>
              </w:rPr>
              <w:t>/nm</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E294">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color w:val="auto"/>
                <w:sz w:val="21"/>
                <w:szCs w:val="21"/>
                <w:highlight w:val="none"/>
              </w:rPr>
              <w:t>测量重复性</w:t>
            </w:r>
            <w:r>
              <w:rPr>
                <w:rFonts w:hint="eastAsia"/>
                <w:sz w:val="21"/>
                <w:szCs w:val="21"/>
                <w:highlight w:val="none"/>
                <w:lang w:val="en-US" w:eastAsia="zh-CN"/>
              </w:rPr>
              <w:t>/nm</w:t>
            </w:r>
          </w:p>
        </w:tc>
        <w:tc>
          <w:tcPr>
            <w:tcW w:w="672" w:type="pct"/>
            <w:vMerge w:val="restart"/>
            <w:tcBorders>
              <w:top w:val="single" w:color="000000" w:sz="4" w:space="0"/>
              <w:left w:val="single" w:color="000000" w:sz="4" w:space="0"/>
              <w:right w:val="single" w:color="000000" w:sz="4" w:space="0"/>
            </w:tcBorders>
            <w:shd w:val="clear" w:color="auto" w:fill="auto"/>
            <w:noWrap/>
            <w:vAlign w:val="center"/>
          </w:tcPr>
          <w:p w14:paraId="612E8E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扩展不确定度</w:t>
            </w:r>
          </w:p>
          <w:p w14:paraId="7AD44821">
            <w:pPr>
              <w:keepNext w:val="0"/>
              <w:keepLines w:val="0"/>
              <w:widowControl/>
              <w:suppressLineNumbers w:val="0"/>
              <w:jc w:val="center"/>
              <w:textAlignment w:val="center"/>
              <w:rPr>
                <w:rFonts w:hint="eastAsia" w:ascii="宋体" w:hAnsi="宋体" w:eastAsia="宋体" w:cs="宋体"/>
                <w:color w:val="auto"/>
                <w:sz w:val="21"/>
                <w:szCs w:val="21"/>
                <w:highlight w:val="none"/>
              </w:rPr>
            </w:pPr>
            <w:r>
              <w:rPr>
                <w:i/>
                <w:sz w:val="24"/>
                <w:highlight w:val="none"/>
              </w:rPr>
              <w:t>U</w:t>
            </w:r>
            <w:r>
              <w:rPr>
                <w:sz w:val="24"/>
                <w:highlight w:val="none"/>
              </w:rPr>
              <w:t>(</w:t>
            </w:r>
            <w:r>
              <w:rPr>
                <w:i/>
                <w:iCs/>
                <w:sz w:val="24"/>
                <w:highlight w:val="none"/>
              </w:rPr>
              <w:t>λ</w:t>
            </w:r>
            <w:r>
              <w:rPr>
                <w:sz w:val="24"/>
                <w:highlight w:val="none"/>
              </w:rPr>
              <w:t>)</w:t>
            </w:r>
            <w:r>
              <w:rPr>
                <w:rFonts w:hint="eastAsia"/>
                <w:sz w:val="21"/>
                <w:szCs w:val="21"/>
                <w:highlight w:val="none"/>
                <w:lang w:val="en-US" w:eastAsia="zh-CN"/>
              </w:rPr>
              <w:t xml:space="preserve"> </w:t>
            </w: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/nm</w:t>
            </w:r>
          </w:p>
        </w:tc>
      </w:tr>
      <w:tr w14:paraId="09FC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3A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6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DE7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1F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CA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0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543B">
            <w:pPr>
              <w:jc w:val="center"/>
              <w:rPr>
                <w:rFonts w:hint="eastAsia" w:ascii="宋体" w:hAnsi="宋体" w:eastAsia="宋体" w:cs="宋体"/>
                <w:i w:val="0"/>
                <w:iCs w:val="0"/>
                <w:color w:val="000000"/>
                <w:sz w:val="21"/>
                <w:szCs w:val="21"/>
                <w:u w:val="none"/>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EDEAF">
            <w:pPr>
              <w:jc w:val="center"/>
              <w:rPr>
                <w:rFonts w:hint="eastAsia" w:ascii="宋体" w:hAnsi="宋体" w:eastAsia="宋体" w:cs="宋体"/>
                <w:i w:val="0"/>
                <w:iCs w:val="0"/>
                <w:color w:val="000000"/>
                <w:sz w:val="21"/>
                <w:szCs w:val="21"/>
                <w:u w:val="none"/>
              </w:rPr>
            </w:pPr>
          </w:p>
        </w:tc>
        <w:tc>
          <w:tcPr>
            <w:tcW w:w="672" w:type="pct"/>
            <w:vMerge w:val="continue"/>
            <w:tcBorders>
              <w:left w:val="single" w:color="000000" w:sz="4" w:space="0"/>
              <w:bottom w:val="single" w:color="000000" w:sz="4" w:space="0"/>
              <w:right w:val="single" w:color="000000" w:sz="4" w:space="0"/>
            </w:tcBorders>
            <w:shd w:val="clear" w:color="auto" w:fill="auto"/>
            <w:noWrap/>
            <w:vAlign w:val="center"/>
          </w:tcPr>
          <w:p w14:paraId="48EE1AB2">
            <w:pPr>
              <w:jc w:val="center"/>
              <w:rPr>
                <w:rFonts w:hint="eastAsia" w:ascii="宋体" w:hAnsi="宋体" w:eastAsia="宋体" w:cs="宋体"/>
                <w:i w:val="0"/>
                <w:iCs w:val="0"/>
                <w:color w:val="000000"/>
                <w:sz w:val="21"/>
                <w:szCs w:val="21"/>
                <w:u w:val="none"/>
              </w:rPr>
            </w:pPr>
          </w:p>
        </w:tc>
      </w:tr>
      <w:tr w14:paraId="30FC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E19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2D6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6E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2F6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E4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E9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04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D52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6A3E8091">
      <w:pPr>
        <w:widowControl w:val="0"/>
        <w:numPr>
          <w:ilvl w:val="0"/>
          <w:numId w:val="0"/>
        </w:numPr>
        <w:spacing w:line="360" w:lineRule="auto"/>
        <w:ind w:leftChars="0"/>
        <w:jc w:val="both"/>
        <w:rPr>
          <w:rFonts w:hint="eastAsia" w:ascii="宋体" w:hAnsi="宋体" w:eastAsia="宋体" w:cs="宋体"/>
          <w:color w:val="auto"/>
          <w:sz w:val="21"/>
          <w:szCs w:val="21"/>
          <w:highlight w:val="none"/>
          <w:u w:val="none"/>
          <w:lang w:val="en-US" w:eastAsia="zh-CN"/>
        </w:rPr>
      </w:pPr>
    </w:p>
    <w:p w14:paraId="2DB34B58">
      <w:pPr>
        <w:ind w:firstLine="420" w:firstLineChars="200"/>
        <w:rPr>
          <w:rFonts w:hint="eastAsia" w:ascii="宋体" w:hAnsi="宋体" w:eastAsia="宋体" w:cs="宋体"/>
          <w:color w:val="auto"/>
          <w:sz w:val="21"/>
          <w:szCs w:val="21"/>
          <w:highlight w:val="none"/>
        </w:rPr>
      </w:pPr>
    </w:p>
    <w:p w14:paraId="3393E5A3">
      <w:pPr>
        <w:ind w:firstLine="420" w:firstLineChars="200"/>
        <w:rPr>
          <w:rFonts w:hint="eastAsia" w:ascii="宋体" w:hAnsi="宋体" w:eastAsia="宋体" w:cs="宋体"/>
          <w:color w:val="auto"/>
          <w:sz w:val="21"/>
          <w:szCs w:val="21"/>
          <w:highlight w:val="none"/>
        </w:rPr>
      </w:pPr>
    </w:p>
    <w:p w14:paraId="011C206F">
      <w:pPr>
        <w:ind w:firstLine="420" w:firstLineChars="200"/>
        <w:rPr>
          <w:rFonts w:hint="eastAsia" w:ascii="宋体" w:hAnsi="宋体" w:eastAsia="宋体" w:cs="宋体"/>
          <w:color w:val="auto"/>
          <w:sz w:val="21"/>
          <w:szCs w:val="21"/>
          <w:highlight w:val="none"/>
        </w:rPr>
      </w:pPr>
    </w:p>
    <w:p w14:paraId="6A034265">
      <w:pPr>
        <w:ind w:firstLine="420" w:firstLineChars="200"/>
        <w:rPr>
          <w:rFonts w:hint="eastAsia" w:ascii="宋体" w:hAnsi="宋体" w:eastAsia="宋体" w:cs="宋体"/>
          <w:color w:val="auto"/>
          <w:sz w:val="21"/>
          <w:szCs w:val="21"/>
          <w:highlight w:val="none"/>
        </w:rPr>
      </w:pPr>
    </w:p>
    <w:p w14:paraId="1D7B6275">
      <w:pPr>
        <w:ind w:firstLine="420" w:firstLineChars="200"/>
        <w:rPr>
          <w:rFonts w:hint="eastAsia" w:ascii="宋体" w:hAnsi="宋体" w:eastAsia="宋体" w:cs="宋体"/>
          <w:color w:val="auto"/>
          <w:sz w:val="21"/>
          <w:szCs w:val="21"/>
          <w:highlight w:val="none"/>
        </w:rPr>
      </w:pPr>
    </w:p>
    <w:p w14:paraId="1230BAAD">
      <w:pPr>
        <w:ind w:firstLine="420" w:firstLineChars="200"/>
        <w:rPr>
          <w:rFonts w:hint="eastAsia" w:ascii="宋体" w:hAnsi="宋体" w:eastAsia="宋体" w:cs="宋体"/>
          <w:color w:val="auto"/>
          <w:sz w:val="21"/>
          <w:szCs w:val="21"/>
          <w:highlight w:val="none"/>
        </w:rPr>
      </w:pPr>
    </w:p>
    <w:p w14:paraId="194F9C3A">
      <w:pPr>
        <w:ind w:firstLine="420" w:firstLineChars="200"/>
        <w:rPr>
          <w:rFonts w:hint="eastAsia" w:ascii="黑体" w:hAnsi="黑体" w:eastAsia="黑体"/>
          <w:b/>
          <w:bCs/>
          <w:sz w:val="28"/>
          <w:szCs w:val="28"/>
          <w:highlight w:val="none"/>
        </w:rPr>
      </w:pPr>
      <w:r>
        <w:rPr>
          <w:rFonts w:hint="eastAsia" w:ascii="宋体" w:hAnsi="宋体" w:eastAsia="宋体" w:cs="宋体"/>
          <w:color w:val="auto"/>
          <w:sz w:val="21"/>
          <w:szCs w:val="21"/>
          <w:highlight w:val="none"/>
        </w:rPr>
        <w:t>校准：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核</w:t>
      </w:r>
      <w:r>
        <w:rPr>
          <w:rFonts w:hint="eastAsia" w:ascii="宋体" w:hAnsi="宋体" w:eastAsia="宋体" w:cs="宋体"/>
          <w:color w:val="auto"/>
          <w:sz w:val="21"/>
          <w:szCs w:val="21"/>
          <w:highlight w:val="none"/>
          <w:lang w:val="en-US" w:eastAsia="zh-CN"/>
        </w:rPr>
        <w:t>验</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p>
    <w:p w14:paraId="38CBFF04">
      <w:pPr>
        <w:autoSpaceDE w:val="0"/>
        <w:autoSpaceDN w:val="0"/>
        <w:adjustRightInd w:val="0"/>
        <w:spacing w:before="156" w:beforeLines="50" w:after="156" w:afterLines="50" w:line="360" w:lineRule="auto"/>
        <w:rPr>
          <w:rStyle w:val="22"/>
          <w:rFonts w:hint="eastAsia" w:ascii="黑体" w:hAnsi="黑体" w:eastAsia="黑体"/>
          <w:sz w:val="28"/>
          <w:szCs w:val="28"/>
          <w:highlight w:val="none"/>
        </w:rPr>
        <w:sectPr>
          <w:footerReference r:id="rId11" w:type="default"/>
          <w:pgSz w:w="11906" w:h="16838"/>
          <w:pgMar w:top="1264" w:right="1418" w:bottom="1418" w:left="1418" w:header="851" w:footer="992" w:gutter="0"/>
          <w:pgNumType w:start="13"/>
          <w:cols w:space="720" w:num="1"/>
          <w:docGrid w:type="lines" w:linePitch="312" w:charSpace="0"/>
        </w:sectPr>
      </w:pPr>
    </w:p>
    <w:p w14:paraId="41FEB27A">
      <w:pPr>
        <w:autoSpaceDE w:val="0"/>
        <w:autoSpaceDN w:val="0"/>
        <w:adjustRightInd w:val="0"/>
        <w:spacing w:before="156" w:beforeLines="50" w:after="156" w:afterLines="50" w:line="360" w:lineRule="auto"/>
        <w:rPr>
          <w:rFonts w:hint="eastAsia" w:ascii="黑体" w:hAnsi="黑体" w:eastAsia="黑体"/>
          <w:b/>
          <w:kern w:val="0"/>
          <w:sz w:val="28"/>
          <w:szCs w:val="28"/>
          <w:highlight w:val="none"/>
        </w:rPr>
      </w:pPr>
      <w:bookmarkStart w:id="77" w:name="_Toc23530"/>
      <w:r>
        <w:rPr>
          <w:rStyle w:val="22"/>
          <w:rFonts w:hint="eastAsia" w:ascii="黑体" w:hAnsi="黑体" w:eastAsia="黑体"/>
          <w:sz w:val="28"/>
          <w:szCs w:val="28"/>
          <w:highlight w:val="none"/>
        </w:rPr>
        <w:t>附录C</w:t>
      </w:r>
      <w:bookmarkEnd w:id="77"/>
      <w:r>
        <w:rPr>
          <w:rFonts w:hint="eastAsia" w:ascii="黑体" w:hAnsi="黑体" w:eastAsia="黑体"/>
          <w:b/>
          <w:kern w:val="0"/>
          <w:sz w:val="28"/>
          <w:szCs w:val="28"/>
          <w:highlight w:val="none"/>
        </w:rPr>
        <w:t>：</w:t>
      </w:r>
    </w:p>
    <w:p w14:paraId="0BE36171">
      <w:pPr>
        <w:pStyle w:val="2"/>
        <w:ind w:left="0" w:leftChars="0" w:firstLine="0" w:firstLineChars="0"/>
        <w:jc w:val="center"/>
        <w:rPr>
          <w:rFonts w:hint="eastAsia" w:ascii="黑体" w:hAnsi="黑体" w:eastAsia="黑体" w:cs="黑体"/>
          <w:color w:val="auto"/>
          <w:sz w:val="28"/>
          <w:szCs w:val="28"/>
          <w:highlight w:val="none"/>
        </w:rPr>
      </w:pPr>
      <w:bookmarkStart w:id="78" w:name="_Toc31223"/>
      <w:bookmarkStart w:id="79" w:name="_Toc22950"/>
      <w:r>
        <w:rPr>
          <w:rFonts w:hint="eastAsia" w:ascii="黑体" w:hAnsi="黑体" w:eastAsia="黑体" w:cs="黑体"/>
          <w:color w:val="auto"/>
          <w:sz w:val="28"/>
          <w:szCs w:val="28"/>
          <w:highlight w:val="none"/>
        </w:rPr>
        <w:t>校准证书</w:t>
      </w:r>
      <w:r>
        <w:rPr>
          <w:rFonts w:hint="eastAsia" w:ascii="黑体" w:hAnsi="黑体" w:eastAsia="黑体" w:cs="黑体"/>
          <w:color w:val="auto"/>
          <w:sz w:val="28"/>
          <w:szCs w:val="28"/>
          <w:highlight w:val="none"/>
          <w:lang w:eastAsia="zh-CN"/>
        </w:rPr>
        <w:t>（</w:t>
      </w:r>
      <w:r>
        <w:rPr>
          <w:rFonts w:hint="eastAsia" w:ascii="黑体" w:hAnsi="黑体" w:eastAsia="黑体" w:cs="黑体"/>
          <w:color w:val="auto"/>
          <w:sz w:val="28"/>
          <w:szCs w:val="28"/>
          <w:highlight w:val="none"/>
        </w:rPr>
        <w:t>内页</w:t>
      </w:r>
      <w:r>
        <w:rPr>
          <w:rFonts w:hint="eastAsia" w:ascii="黑体" w:hAnsi="黑体" w:eastAsia="黑体" w:cs="黑体"/>
          <w:color w:val="auto"/>
          <w:sz w:val="28"/>
          <w:szCs w:val="28"/>
          <w:highlight w:val="none"/>
          <w:lang w:eastAsia="zh-CN"/>
        </w:rPr>
        <w:t>）</w:t>
      </w:r>
      <w:r>
        <w:rPr>
          <w:rFonts w:hint="eastAsia" w:ascii="黑体" w:hAnsi="黑体" w:eastAsia="黑体" w:cs="黑体"/>
          <w:color w:val="auto"/>
          <w:sz w:val="28"/>
          <w:szCs w:val="28"/>
          <w:highlight w:val="none"/>
        </w:rPr>
        <w:t>格式</w:t>
      </w:r>
      <w:bookmarkEnd w:id="78"/>
      <w:bookmarkEnd w:id="79"/>
    </w:p>
    <w:p w14:paraId="02CC8128">
      <w:pPr>
        <w:widowControl w:val="0"/>
        <w:numPr>
          <w:ilvl w:val="0"/>
          <w:numId w:val="0"/>
        </w:numPr>
        <w:spacing w:line="360" w:lineRule="auto"/>
        <w:jc w:val="center"/>
        <w:rPr>
          <w:rFonts w:hint="default" w:ascii="Times New Roman" w:hAnsi="Times New Roman" w:eastAsia="宋体" w:cs="Times New Roman"/>
          <w:color w:val="auto"/>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推荐性表格</w:t>
      </w:r>
      <w:r>
        <w:rPr>
          <w:rFonts w:hint="eastAsia" w:ascii="宋体" w:hAnsi="宋体" w:eastAsia="宋体" w:cs="宋体"/>
          <w:color w:val="auto"/>
          <w:sz w:val="21"/>
          <w:szCs w:val="21"/>
          <w:highlight w:val="none"/>
          <w:lang w:eastAsia="zh-CN"/>
        </w:rPr>
        <w:t>）</w:t>
      </w:r>
    </w:p>
    <w:p w14:paraId="4A379078">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 xml:space="preserve">证书编号：                         </w:t>
      </w:r>
      <w:r>
        <w:rPr>
          <w:rFonts w:hint="eastAsia" w:eastAsia="宋体" w:cs="Times New Roman"/>
          <w:color w:val="auto"/>
          <w:highlight w:val="none"/>
          <w:lang w:val="en-US" w:eastAsia="zh-CN"/>
        </w:rPr>
        <w:t xml:space="preserve">       </w:t>
      </w:r>
      <w:r>
        <w:rPr>
          <w:rFonts w:hint="default" w:ascii="Times New Roman" w:hAnsi="Times New Roman" w:eastAsia="宋体" w:cs="Times New Roman"/>
          <w:color w:val="auto"/>
          <w:highlight w:val="none"/>
        </w:rPr>
        <w:t xml:space="preserve">                        </w:t>
      </w:r>
      <w:r>
        <w:rPr>
          <w:rFonts w:hint="eastAsia" w:eastAsia="宋体" w:cs="Times New Roman"/>
          <w:color w:val="auto"/>
          <w:highlight w:val="none"/>
          <w:lang w:val="en-US" w:eastAsia="zh-CN"/>
        </w:rPr>
        <w:t xml:space="preserve">    </w:t>
      </w:r>
      <w:r>
        <w:rPr>
          <w:rFonts w:hint="default" w:ascii="Times New Roman" w:hAnsi="Times New Roman" w:eastAsia="宋体" w:cs="Times New Roman"/>
          <w:color w:val="auto"/>
          <w:highlight w:val="none"/>
        </w:rPr>
        <w:t xml:space="preserve">    第  页</w:t>
      </w:r>
      <w:r>
        <w:rPr>
          <w:rFonts w:hint="eastAsia" w:eastAsia="宋体" w:cs="Times New Roman"/>
          <w:color w:val="auto"/>
          <w:highlight w:val="none"/>
          <w:lang w:val="en-US" w:eastAsia="zh-CN"/>
        </w:rPr>
        <w:t>/</w:t>
      </w:r>
      <w:r>
        <w:rPr>
          <w:rFonts w:hint="default" w:ascii="Times New Roman" w:hAnsi="Times New Roman" w:eastAsia="宋体" w:cs="Times New Roman"/>
          <w:color w:val="auto"/>
          <w:highlight w:val="none"/>
        </w:rPr>
        <w:t>共  页</w:t>
      </w:r>
    </w:p>
    <w:tbl>
      <w:tblPr>
        <w:tblStyle w:val="16"/>
        <w:tblpPr w:leftFromText="180" w:rightFromText="180" w:vertAnchor="text" w:horzAnchor="margin" w:tblpX="138" w:tblpY="187"/>
        <w:tblW w:w="4934" w:type="pct"/>
        <w:tblInd w:w="0" w:type="dxa"/>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1872"/>
        <w:gridCol w:w="1872"/>
        <w:gridCol w:w="1872"/>
        <w:gridCol w:w="1937"/>
      </w:tblGrid>
      <w:tr w14:paraId="4EA19F21">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000" w:type="pct"/>
            <w:gridSpan w:val="5"/>
            <w:noWrap w:val="0"/>
            <w:vAlign w:val="top"/>
          </w:tcPr>
          <w:p w14:paraId="19F393A8">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校准所依据的技术文件（代号、名称）：</w:t>
            </w:r>
          </w:p>
          <w:p w14:paraId="7B98086D">
            <w:pPr>
              <w:rPr>
                <w:rFonts w:hint="default" w:ascii="Times New Roman" w:hAnsi="Times New Roman" w:eastAsia="宋体" w:cs="Times New Roman"/>
                <w:color w:val="auto"/>
                <w:highlight w:val="none"/>
              </w:rPr>
            </w:pPr>
          </w:p>
        </w:tc>
      </w:tr>
      <w:tr w14:paraId="57765145">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000" w:type="pct"/>
            <w:gridSpan w:val="5"/>
            <w:noWrap w:val="0"/>
            <w:vAlign w:val="top"/>
          </w:tcPr>
          <w:p w14:paraId="55FE2413">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校准环境条件</w:t>
            </w:r>
          </w:p>
          <w:p w14:paraId="6F8BA1B5">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 xml:space="preserve">温度：                          </w:t>
            </w:r>
            <w:r>
              <w:rPr>
                <w:rFonts w:hint="eastAsia" w:eastAsia="宋体" w:cs="Times New Roman"/>
                <w:color w:val="auto"/>
                <w:highlight w:val="none"/>
                <w:lang w:val="en-US" w:eastAsia="zh-CN"/>
              </w:rPr>
              <w:t>相对</w:t>
            </w:r>
            <w:r>
              <w:rPr>
                <w:rFonts w:hint="default" w:ascii="Times New Roman" w:hAnsi="Times New Roman" w:eastAsia="宋体" w:cs="Times New Roman"/>
                <w:color w:val="auto"/>
                <w:highlight w:val="none"/>
              </w:rPr>
              <w:t>湿度：                        其他：</w:t>
            </w:r>
          </w:p>
        </w:tc>
      </w:tr>
      <w:tr w14:paraId="219C8D7A">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5000" w:type="pct"/>
            <w:gridSpan w:val="5"/>
            <w:noWrap w:val="0"/>
            <w:vAlign w:val="top"/>
          </w:tcPr>
          <w:p w14:paraId="36AF889F">
            <w:pPr>
              <w:spacing w:before="156" w:beforeLines="50" w:after="156" w:afterLines="50"/>
              <w:ind w:right="-105"/>
              <w:rPr>
                <w:rFonts w:hint="default" w:ascii="Times New Roman" w:hAnsi="Times New Roman" w:eastAsia="宋体" w:cs="Times New Roman"/>
                <w:color w:val="auto"/>
                <w:spacing w:val="2"/>
                <w:szCs w:val="21"/>
                <w:highlight w:val="none"/>
              </w:rPr>
            </w:pPr>
            <w:r>
              <w:rPr>
                <w:rFonts w:hint="default" w:ascii="Times New Roman" w:hAnsi="Times New Roman" w:eastAsia="宋体" w:cs="Times New Roman"/>
                <w:color w:val="auto"/>
                <w:szCs w:val="21"/>
                <w:highlight w:val="none"/>
              </w:rPr>
              <w:t>校准所使用的</w:t>
            </w:r>
            <w:r>
              <w:rPr>
                <w:rFonts w:hint="eastAsia" w:cs="Times New Roman"/>
                <w:color w:val="auto"/>
                <w:szCs w:val="21"/>
                <w:highlight w:val="none"/>
                <w:lang w:val="en-US" w:eastAsia="zh-CN"/>
              </w:rPr>
              <w:t>标准器/</w:t>
            </w:r>
            <w:r>
              <w:rPr>
                <w:rFonts w:hint="default" w:ascii="Times New Roman" w:hAnsi="Times New Roman" w:eastAsia="宋体" w:cs="Times New Roman"/>
                <w:color w:val="auto"/>
                <w:szCs w:val="21"/>
                <w:highlight w:val="none"/>
              </w:rPr>
              <w:t>标准物质：</w:t>
            </w:r>
          </w:p>
        </w:tc>
      </w:tr>
      <w:tr w14:paraId="55312A52">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932" w:type="pct"/>
            <w:noWrap w:val="0"/>
            <w:vAlign w:val="top"/>
          </w:tcPr>
          <w:p w14:paraId="536C991C">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名称</w:t>
            </w:r>
          </w:p>
        </w:tc>
        <w:tc>
          <w:tcPr>
            <w:tcW w:w="1008" w:type="pct"/>
            <w:noWrap w:val="0"/>
            <w:vAlign w:val="top"/>
          </w:tcPr>
          <w:p w14:paraId="21BA4B15">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型号/规格</w:t>
            </w:r>
          </w:p>
        </w:tc>
        <w:tc>
          <w:tcPr>
            <w:tcW w:w="1008" w:type="pct"/>
            <w:noWrap w:val="0"/>
            <w:vAlign w:val="top"/>
          </w:tcPr>
          <w:p w14:paraId="5A8BA3CE">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不确定度</w:t>
            </w:r>
          </w:p>
        </w:tc>
        <w:tc>
          <w:tcPr>
            <w:tcW w:w="1008" w:type="pct"/>
            <w:noWrap w:val="0"/>
            <w:vAlign w:val="top"/>
          </w:tcPr>
          <w:p w14:paraId="1F9BCB5E">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证书编号</w:t>
            </w:r>
          </w:p>
        </w:tc>
        <w:tc>
          <w:tcPr>
            <w:tcW w:w="1043" w:type="pct"/>
            <w:noWrap w:val="0"/>
            <w:vAlign w:val="top"/>
          </w:tcPr>
          <w:p w14:paraId="74F27D74">
            <w:pPr>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有效期至</w:t>
            </w:r>
          </w:p>
        </w:tc>
      </w:tr>
      <w:tr w14:paraId="59674B11">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932" w:type="pct"/>
            <w:noWrap w:val="0"/>
            <w:vAlign w:val="top"/>
          </w:tcPr>
          <w:p w14:paraId="19E4F2E8">
            <w:pPr>
              <w:rPr>
                <w:rFonts w:hint="default" w:ascii="Times New Roman" w:hAnsi="Times New Roman" w:eastAsia="宋体" w:cs="Times New Roman"/>
                <w:color w:val="auto"/>
                <w:szCs w:val="21"/>
                <w:highlight w:val="none"/>
              </w:rPr>
            </w:pPr>
          </w:p>
        </w:tc>
        <w:tc>
          <w:tcPr>
            <w:tcW w:w="1008" w:type="pct"/>
            <w:noWrap w:val="0"/>
            <w:vAlign w:val="top"/>
          </w:tcPr>
          <w:p w14:paraId="4671F3CA">
            <w:pPr>
              <w:rPr>
                <w:rFonts w:hint="default" w:ascii="Times New Roman" w:hAnsi="Times New Roman" w:eastAsia="宋体" w:cs="Times New Roman"/>
                <w:color w:val="auto"/>
                <w:szCs w:val="21"/>
                <w:highlight w:val="none"/>
              </w:rPr>
            </w:pPr>
          </w:p>
        </w:tc>
        <w:tc>
          <w:tcPr>
            <w:tcW w:w="1008" w:type="pct"/>
            <w:noWrap w:val="0"/>
            <w:vAlign w:val="top"/>
          </w:tcPr>
          <w:p w14:paraId="1D6145D5">
            <w:pPr>
              <w:rPr>
                <w:rFonts w:hint="default" w:ascii="Times New Roman" w:hAnsi="Times New Roman" w:eastAsia="宋体" w:cs="Times New Roman"/>
                <w:color w:val="auto"/>
                <w:szCs w:val="21"/>
                <w:highlight w:val="none"/>
              </w:rPr>
            </w:pPr>
          </w:p>
        </w:tc>
        <w:tc>
          <w:tcPr>
            <w:tcW w:w="1008" w:type="pct"/>
            <w:noWrap w:val="0"/>
            <w:vAlign w:val="top"/>
          </w:tcPr>
          <w:p w14:paraId="601D2080">
            <w:pPr>
              <w:rPr>
                <w:rFonts w:hint="default" w:ascii="Times New Roman" w:hAnsi="Times New Roman" w:eastAsia="宋体" w:cs="Times New Roman"/>
                <w:color w:val="auto"/>
                <w:szCs w:val="21"/>
                <w:highlight w:val="none"/>
              </w:rPr>
            </w:pPr>
          </w:p>
        </w:tc>
        <w:tc>
          <w:tcPr>
            <w:tcW w:w="1043" w:type="pct"/>
            <w:noWrap w:val="0"/>
            <w:vAlign w:val="top"/>
          </w:tcPr>
          <w:p w14:paraId="1DE06057">
            <w:pPr>
              <w:rPr>
                <w:rFonts w:hint="default" w:ascii="Times New Roman" w:hAnsi="Times New Roman" w:eastAsia="宋体" w:cs="Times New Roman"/>
                <w:color w:val="auto"/>
                <w:szCs w:val="21"/>
                <w:highlight w:val="none"/>
              </w:rPr>
            </w:pPr>
          </w:p>
        </w:tc>
      </w:tr>
      <w:tr w14:paraId="77AA07CE">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932" w:type="pct"/>
            <w:noWrap w:val="0"/>
            <w:vAlign w:val="top"/>
          </w:tcPr>
          <w:p w14:paraId="38C26EB2">
            <w:pPr>
              <w:rPr>
                <w:rFonts w:hint="default" w:ascii="Times New Roman" w:hAnsi="Times New Roman" w:eastAsia="宋体" w:cs="Times New Roman"/>
                <w:color w:val="auto"/>
                <w:szCs w:val="21"/>
                <w:highlight w:val="none"/>
              </w:rPr>
            </w:pPr>
          </w:p>
        </w:tc>
        <w:tc>
          <w:tcPr>
            <w:tcW w:w="1008" w:type="pct"/>
            <w:noWrap w:val="0"/>
            <w:vAlign w:val="top"/>
          </w:tcPr>
          <w:p w14:paraId="571CDCBB">
            <w:pPr>
              <w:rPr>
                <w:rFonts w:hint="default" w:ascii="Times New Roman" w:hAnsi="Times New Roman" w:eastAsia="宋体" w:cs="Times New Roman"/>
                <w:color w:val="auto"/>
                <w:szCs w:val="21"/>
                <w:highlight w:val="none"/>
              </w:rPr>
            </w:pPr>
          </w:p>
        </w:tc>
        <w:tc>
          <w:tcPr>
            <w:tcW w:w="1008" w:type="pct"/>
            <w:noWrap w:val="0"/>
            <w:vAlign w:val="top"/>
          </w:tcPr>
          <w:p w14:paraId="2F9A86D6">
            <w:pPr>
              <w:rPr>
                <w:rFonts w:hint="default" w:ascii="Times New Roman" w:hAnsi="Times New Roman" w:eastAsia="宋体" w:cs="Times New Roman"/>
                <w:color w:val="auto"/>
                <w:szCs w:val="21"/>
                <w:highlight w:val="none"/>
              </w:rPr>
            </w:pPr>
          </w:p>
        </w:tc>
        <w:tc>
          <w:tcPr>
            <w:tcW w:w="1008" w:type="pct"/>
            <w:noWrap w:val="0"/>
            <w:vAlign w:val="top"/>
          </w:tcPr>
          <w:p w14:paraId="40296E15">
            <w:pPr>
              <w:rPr>
                <w:rFonts w:hint="default" w:ascii="Times New Roman" w:hAnsi="Times New Roman" w:eastAsia="宋体" w:cs="Times New Roman"/>
                <w:color w:val="auto"/>
                <w:szCs w:val="21"/>
                <w:highlight w:val="none"/>
              </w:rPr>
            </w:pPr>
          </w:p>
        </w:tc>
        <w:tc>
          <w:tcPr>
            <w:tcW w:w="1043" w:type="pct"/>
            <w:noWrap w:val="0"/>
            <w:vAlign w:val="top"/>
          </w:tcPr>
          <w:p w14:paraId="2170729C">
            <w:pPr>
              <w:rPr>
                <w:rFonts w:hint="default" w:ascii="Times New Roman" w:hAnsi="Times New Roman" w:eastAsia="宋体" w:cs="Times New Roman"/>
                <w:color w:val="auto"/>
                <w:szCs w:val="21"/>
                <w:highlight w:val="none"/>
              </w:rPr>
            </w:pPr>
          </w:p>
        </w:tc>
      </w:tr>
      <w:tr w14:paraId="73577881">
        <w:tblPrEx>
          <w:tblBorders>
            <w:top w:val="double" w:color="auto" w:sz="4" w:space="0"/>
            <w:left w:val="single" w:color="auto" w:sz="6" w:space="0"/>
            <w:bottom w:val="doub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929" w:hRule="atLeast"/>
        </w:trPr>
        <w:tc>
          <w:tcPr>
            <w:tcW w:w="5000" w:type="pct"/>
            <w:gridSpan w:val="5"/>
            <w:noWrap w:val="0"/>
            <w:vAlign w:val="top"/>
          </w:tcPr>
          <w:p w14:paraId="1066D3EC">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校准结果</w:t>
            </w:r>
          </w:p>
          <w:p w14:paraId="291B3B89">
            <w:pPr>
              <w:widowControl w:val="0"/>
              <w:numPr>
                <w:ilvl w:val="0"/>
                <w:numId w:val="3"/>
              </w:numPr>
              <w:spacing w:line="360" w:lineRule="auto"/>
              <w:ind w:left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荧光相对强度校准曲线</w:t>
            </w:r>
          </w:p>
          <w:tbl>
            <w:tblPr>
              <w:tblStyle w:val="16"/>
              <w:tblW w:w="501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3"/>
              <w:gridCol w:w="568"/>
              <w:gridCol w:w="1621"/>
              <w:gridCol w:w="834"/>
              <w:gridCol w:w="569"/>
              <w:gridCol w:w="1621"/>
              <w:gridCol w:w="834"/>
              <w:gridCol w:w="569"/>
              <w:gridCol w:w="1621"/>
            </w:tblGrid>
            <w:tr w14:paraId="69E37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ADB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波长/nm</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A18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校准</w:t>
                  </w:r>
                </w:p>
                <w:p w14:paraId="64AB51F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因子</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543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相对扩展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不确定度</w:t>
                  </w:r>
                </w:p>
                <w:p w14:paraId="41AA67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 xml:space="preserve"> </w:t>
                  </w: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94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波长/nm</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FB9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校准</w:t>
                  </w:r>
                </w:p>
                <w:p w14:paraId="5470EB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因子</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880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相对扩展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不确定度</w:t>
                  </w:r>
                </w:p>
                <w:p w14:paraId="04E5E5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 xml:space="preserve"> </w:t>
                  </w: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A0D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波长/nm</w:t>
                  </w: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3FF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校准</w:t>
                  </w:r>
                </w:p>
                <w:p w14:paraId="5C32EC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因子</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F9D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相对扩展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不确定度</w:t>
                  </w:r>
                </w:p>
                <w:p w14:paraId="250626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i/>
                      <w:sz w:val="24"/>
                      <w:highlight w:val="none"/>
                    </w:rPr>
                    <w:t>U</w:t>
                  </w:r>
                  <w:r>
                    <w:rPr>
                      <w:iCs/>
                      <w:sz w:val="24"/>
                      <w:highlight w:val="none"/>
                      <w:vertAlign w:val="subscript"/>
                    </w:rPr>
                    <w:t>rel</w:t>
                  </w:r>
                  <w:r>
                    <w:rPr>
                      <w:sz w:val="24"/>
                      <w:highlight w:val="none"/>
                    </w:rPr>
                    <w:t>(</w:t>
                  </w:r>
                  <w:r>
                    <w:rPr>
                      <w:i/>
                      <w:iCs/>
                      <w:sz w:val="24"/>
                      <w:highlight w:val="none"/>
                    </w:rPr>
                    <w:t>C</w:t>
                  </w:r>
                  <w:r>
                    <w:rPr>
                      <w:rFonts w:hint="eastAsia"/>
                      <w:sz w:val="24"/>
                      <w:highlight w:val="none"/>
                      <w:vertAlign w:val="baseline"/>
                      <w:lang w:val="en-US" w:eastAsia="zh-CN"/>
                    </w:rPr>
                    <w:t>(</w:t>
                  </w:r>
                  <w:r>
                    <w:rPr>
                      <w:i/>
                      <w:iCs/>
                      <w:sz w:val="24"/>
                      <w:highlight w:val="none"/>
                    </w:rPr>
                    <w:t>λ</w:t>
                  </w:r>
                  <w:r>
                    <w:rPr>
                      <w:rFonts w:hint="eastAsia"/>
                      <w:sz w:val="24"/>
                      <w:highlight w:val="none"/>
                      <w:vertAlign w:val="baseline"/>
                      <w:lang w:val="en-US" w:eastAsia="zh-CN"/>
                    </w:rPr>
                    <w:t>)</w:t>
                  </w:r>
                  <w:r>
                    <w:rPr>
                      <w:sz w:val="24"/>
                      <w:highlight w:val="none"/>
                    </w:rPr>
                    <w:t>)</w:t>
                  </w:r>
                  <w:r>
                    <w:rPr>
                      <w:rFonts w:hint="eastAsia"/>
                      <w:sz w:val="24"/>
                      <w:highlight w:val="none"/>
                      <w:lang w:val="en-US" w:eastAsia="zh-CN"/>
                    </w:rPr>
                    <w:t xml:space="preserve"> </w:t>
                  </w: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r>
            <w:tr w14:paraId="3E61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F7D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AC9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0A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0D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F0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C6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07C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31D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BED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E207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EA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5F6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8C6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3C4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29A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D7A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99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48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F3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F6AB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73C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70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89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B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04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12D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6E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19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69C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6123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03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219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AE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D40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7DF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CC0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70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C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4C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916F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DE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3E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2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41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5C3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0C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85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CB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099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1FC4E858">
            <w:pPr>
              <w:ind w:firstLine="420" w:firstLineChars="200"/>
              <w:rPr>
                <w:rFonts w:hint="default" w:ascii="Times New Roman" w:hAnsi="Times New Roman" w:eastAsia="宋体" w:cs="Times New Roman"/>
                <w:color w:val="auto"/>
                <w:szCs w:val="21"/>
                <w:highlight w:val="none"/>
              </w:rPr>
            </w:pPr>
          </w:p>
          <w:p w14:paraId="452620D7">
            <w:pPr>
              <w:widowControl w:val="0"/>
              <w:numPr>
                <w:ilvl w:val="0"/>
                <w:numId w:val="3"/>
              </w:numPr>
              <w:spacing w:line="360" w:lineRule="auto"/>
              <w:ind w:left="0" w:leftChars="0" w:firstLine="0" w:firstLineChars="0"/>
              <w:jc w:val="both"/>
              <w:rPr>
                <w:rFonts w:hint="default" w:ascii="Times New Roman" w:hAnsi="Times New Roman" w:eastAsia="宋体" w:cs="Times New Roman"/>
                <w:color w:val="auto"/>
                <w:szCs w:val="21"/>
                <w:highlight w:val="none"/>
              </w:rPr>
            </w:pPr>
            <w:r>
              <w:rPr>
                <w:rFonts w:hint="eastAsia" w:ascii="宋体" w:hAnsi="宋体" w:eastAsia="宋体" w:cs="宋体"/>
                <w:color w:val="auto"/>
                <w:sz w:val="21"/>
                <w:szCs w:val="21"/>
                <w:highlight w:val="none"/>
              </w:rPr>
              <w:t>荧光相对强度测量重复性</w:t>
            </w:r>
          </w:p>
          <w:tbl>
            <w:tblPr>
              <w:tblStyle w:val="1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2"/>
              <w:gridCol w:w="914"/>
              <w:gridCol w:w="1422"/>
              <w:gridCol w:w="1081"/>
              <w:gridCol w:w="991"/>
              <w:gridCol w:w="1348"/>
              <w:gridCol w:w="1266"/>
              <w:gridCol w:w="1081"/>
            </w:tblGrid>
            <w:tr w14:paraId="4DFCA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1EC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波长/nm</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A502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cs="宋体"/>
                      <w:color w:val="auto"/>
                      <w:sz w:val="21"/>
                      <w:szCs w:val="21"/>
                      <w:highlight w:val="none"/>
                      <w:lang w:val="en-US" w:eastAsia="zh-CN"/>
                    </w:rPr>
                    <w:t>平均值</w:t>
                  </w: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865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auto"/>
                      <w:sz w:val="21"/>
                      <w:szCs w:val="21"/>
                      <w:highlight w:val="none"/>
                    </w:rPr>
                    <w:t>测量重复性</w:t>
                  </w: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F1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相对</w:t>
                  </w:r>
                  <w:r>
                    <w:rPr>
                      <w:rFonts w:hint="eastAsia" w:ascii="宋体" w:hAnsi="宋体" w:eastAsia="宋体" w:cs="宋体"/>
                      <w:i w:val="0"/>
                      <w:iCs w:val="0"/>
                      <w:color w:val="000000"/>
                      <w:kern w:val="0"/>
                      <w:sz w:val="21"/>
                      <w:szCs w:val="21"/>
                      <w:u w:val="none"/>
                      <w:lang w:val="en-US" w:eastAsia="zh-CN" w:bidi="ar"/>
                    </w:rPr>
                    <w:t>扩展</w:t>
                  </w:r>
                </w:p>
                <w:p w14:paraId="1514728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不确定度</w:t>
                  </w:r>
                </w:p>
                <w:p w14:paraId="670FFE58">
                  <w:pPr>
                    <w:keepNext w:val="0"/>
                    <w:keepLines w:val="0"/>
                    <w:widowControl/>
                    <w:suppressLineNumbers w:val="0"/>
                    <w:jc w:val="center"/>
                    <w:textAlignment w:val="center"/>
                    <w:rPr>
                      <w:sz w:val="21"/>
                      <w:szCs w:val="21"/>
                      <w:highlight w:val="none"/>
                    </w:rPr>
                  </w:pPr>
                  <w:r>
                    <w:rPr>
                      <w:i/>
                      <w:sz w:val="21"/>
                      <w:szCs w:val="21"/>
                      <w:highlight w:val="none"/>
                    </w:rPr>
                    <w:t>U</w:t>
                  </w:r>
                  <w:r>
                    <w:rPr>
                      <w:iCs/>
                      <w:sz w:val="21"/>
                      <w:szCs w:val="21"/>
                      <w:highlight w:val="none"/>
                      <w:vertAlign w:val="subscript"/>
                    </w:rPr>
                    <w:t>rel</w:t>
                  </w:r>
                  <w:r>
                    <w:rPr>
                      <w:sz w:val="21"/>
                      <w:szCs w:val="21"/>
                      <w:highlight w:val="none"/>
                    </w:rPr>
                    <w:t>(</w:t>
                  </w:r>
                  <w:r>
                    <w:rPr>
                      <w:rFonts w:hint="eastAsia"/>
                      <w:i/>
                      <w:iCs/>
                      <w:sz w:val="21"/>
                      <w:szCs w:val="21"/>
                      <w:highlight w:val="none"/>
                      <w:lang w:val="en-US" w:eastAsia="zh-CN"/>
                    </w:rPr>
                    <w:t>I</w:t>
                  </w:r>
                  <w:r>
                    <w:rPr>
                      <w:rFonts w:hint="eastAsia"/>
                      <w:i w:val="0"/>
                      <w:iCs w:val="0"/>
                      <w:sz w:val="21"/>
                      <w:szCs w:val="21"/>
                      <w:highlight w:val="none"/>
                      <w:vertAlign w:val="subscript"/>
                      <w:lang w:val="en-US" w:eastAsia="zh-CN"/>
                    </w:rPr>
                    <w:t>xc</w:t>
                  </w:r>
                  <w:r>
                    <w:rPr>
                      <w:rFonts w:hint="eastAsia"/>
                      <w:sz w:val="21"/>
                      <w:szCs w:val="21"/>
                      <w:highlight w:val="none"/>
                      <w:vertAlign w:val="baseline"/>
                      <w:lang w:val="en-US" w:eastAsia="zh-CN"/>
                    </w:rPr>
                    <w:t>(</w:t>
                  </w:r>
                  <w:r>
                    <w:rPr>
                      <w:i/>
                      <w:iCs/>
                      <w:sz w:val="21"/>
                      <w:szCs w:val="21"/>
                      <w:highlight w:val="none"/>
                    </w:rPr>
                    <w:t>λ</w:t>
                  </w:r>
                  <w:r>
                    <w:rPr>
                      <w:rFonts w:hint="eastAsia"/>
                      <w:sz w:val="21"/>
                      <w:szCs w:val="21"/>
                      <w:highlight w:val="none"/>
                      <w:vertAlign w:val="baseline"/>
                      <w:lang w:val="en-US" w:eastAsia="zh-CN"/>
                    </w:rPr>
                    <w:t>)</w:t>
                  </w:r>
                  <w:r>
                    <w:rPr>
                      <w:sz w:val="21"/>
                      <w:szCs w:val="21"/>
                      <w:highlight w:val="none"/>
                    </w:rPr>
                    <w:t>)</w:t>
                  </w:r>
                </w:p>
                <w:p w14:paraId="57452F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876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波长/nm</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990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color w:val="auto"/>
                      <w:sz w:val="21"/>
                      <w:szCs w:val="21"/>
                      <w:highlight w:val="none"/>
                      <w:lang w:val="en-US" w:eastAsia="zh-CN"/>
                    </w:rPr>
                    <w:t>平均值</w:t>
                  </w: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DB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auto"/>
                      <w:sz w:val="21"/>
                      <w:szCs w:val="21"/>
                      <w:highlight w:val="none"/>
                    </w:rPr>
                    <w:t>测量重复性</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038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相对</w:t>
                  </w:r>
                  <w:r>
                    <w:rPr>
                      <w:rFonts w:hint="eastAsia" w:ascii="宋体" w:hAnsi="宋体" w:eastAsia="宋体" w:cs="宋体"/>
                      <w:i w:val="0"/>
                      <w:iCs w:val="0"/>
                      <w:color w:val="000000"/>
                      <w:kern w:val="0"/>
                      <w:sz w:val="21"/>
                      <w:szCs w:val="21"/>
                      <w:u w:val="none"/>
                      <w:lang w:val="en-US" w:eastAsia="zh-CN" w:bidi="ar"/>
                    </w:rPr>
                    <w:t>扩展</w:t>
                  </w:r>
                </w:p>
                <w:p w14:paraId="2B2181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不确定度</w:t>
                  </w:r>
                </w:p>
                <w:p w14:paraId="74C925BC">
                  <w:pPr>
                    <w:keepNext w:val="0"/>
                    <w:keepLines w:val="0"/>
                    <w:widowControl/>
                    <w:suppressLineNumbers w:val="0"/>
                    <w:jc w:val="center"/>
                    <w:textAlignment w:val="center"/>
                    <w:rPr>
                      <w:sz w:val="21"/>
                      <w:szCs w:val="21"/>
                      <w:highlight w:val="none"/>
                    </w:rPr>
                  </w:pPr>
                  <w:r>
                    <w:rPr>
                      <w:i/>
                      <w:sz w:val="21"/>
                      <w:szCs w:val="21"/>
                      <w:highlight w:val="none"/>
                    </w:rPr>
                    <w:t>U</w:t>
                  </w:r>
                  <w:r>
                    <w:rPr>
                      <w:iCs/>
                      <w:sz w:val="21"/>
                      <w:szCs w:val="21"/>
                      <w:highlight w:val="none"/>
                      <w:vertAlign w:val="subscript"/>
                    </w:rPr>
                    <w:t>rel</w:t>
                  </w:r>
                  <w:r>
                    <w:rPr>
                      <w:sz w:val="21"/>
                      <w:szCs w:val="21"/>
                      <w:highlight w:val="none"/>
                    </w:rPr>
                    <w:t>(</w:t>
                  </w:r>
                  <w:r>
                    <w:rPr>
                      <w:rFonts w:hint="eastAsia"/>
                      <w:i/>
                      <w:iCs/>
                      <w:sz w:val="21"/>
                      <w:szCs w:val="21"/>
                      <w:highlight w:val="none"/>
                      <w:lang w:val="en-US" w:eastAsia="zh-CN"/>
                    </w:rPr>
                    <w:t>I</w:t>
                  </w:r>
                  <w:r>
                    <w:rPr>
                      <w:rFonts w:hint="eastAsia"/>
                      <w:i w:val="0"/>
                      <w:iCs w:val="0"/>
                      <w:sz w:val="21"/>
                      <w:szCs w:val="21"/>
                      <w:highlight w:val="none"/>
                      <w:vertAlign w:val="subscript"/>
                      <w:lang w:val="en-US" w:eastAsia="zh-CN"/>
                    </w:rPr>
                    <w:t>xc</w:t>
                  </w:r>
                  <w:r>
                    <w:rPr>
                      <w:rFonts w:hint="eastAsia"/>
                      <w:sz w:val="21"/>
                      <w:szCs w:val="21"/>
                      <w:highlight w:val="none"/>
                      <w:vertAlign w:val="baseline"/>
                      <w:lang w:val="en-US" w:eastAsia="zh-CN"/>
                    </w:rPr>
                    <w:t>(</w:t>
                  </w:r>
                  <w:r>
                    <w:rPr>
                      <w:i/>
                      <w:iCs/>
                      <w:sz w:val="21"/>
                      <w:szCs w:val="21"/>
                      <w:highlight w:val="none"/>
                    </w:rPr>
                    <w:t>λ</w:t>
                  </w:r>
                  <w:r>
                    <w:rPr>
                      <w:rFonts w:hint="eastAsia"/>
                      <w:sz w:val="21"/>
                      <w:szCs w:val="21"/>
                      <w:highlight w:val="none"/>
                      <w:vertAlign w:val="baseline"/>
                      <w:lang w:val="en-US" w:eastAsia="zh-CN"/>
                    </w:rPr>
                    <w:t>)</w:t>
                  </w:r>
                  <w:r>
                    <w:rPr>
                      <w:sz w:val="21"/>
                      <w:szCs w:val="21"/>
                      <w:highlight w:val="none"/>
                    </w:rPr>
                    <w:t>)</w:t>
                  </w:r>
                </w:p>
                <w:p w14:paraId="095787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r>
            <w:tr w14:paraId="4CDBB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AB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F28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D1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E8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48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FB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45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5B7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1C72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743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3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755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F54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5F2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A7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10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64E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30DD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6CA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AD6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85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E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72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72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7C1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AE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0D9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F8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AE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C99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96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62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E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077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E47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E034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EDC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1C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69C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32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1C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E9F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91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E9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343CA4B3">
            <w:pPr>
              <w:ind w:firstLine="420" w:firstLineChars="200"/>
              <w:rPr>
                <w:rFonts w:hint="default" w:ascii="Times New Roman" w:hAnsi="Times New Roman" w:eastAsia="宋体" w:cs="Times New Roman"/>
                <w:color w:val="auto"/>
                <w:szCs w:val="21"/>
                <w:highlight w:val="none"/>
              </w:rPr>
            </w:pPr>
          </w:p>
          <w:p w14:paraId="03BCFDA2">
            <w:pPr>
              <w:widowControl w:val="0"/>
              <w:numPr>
                <w:ilvl w:val="0"/>
                <w:numId w:val="3"/>
              </w:numPr>
              <w:spacing w:line="360" w:lineRule="auto"/>
              <w:ind w:left="0" w:lef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荧光发射光谱峰值波长测量重复性</w:t>
            </w:r>
          </w:p>
          <w:p w14:paraId="3F43B677">
            <w:pPr>
              <w:widowControl w:val="0"/>
              <w:numPr>
                <w:ilvl w:val="0"/>
                <w:numId w:val="0"/>
              </w:numPr>
              <w:spacing w:line="360" w:lineRule="auto"/>
              <w:jc w:val="both"/>
              <w:rPr>
                <w:rFonts w:hint="eastAsia" w:ascii="宋体" w:hAnsi="宋体" w:eastAsia="宋体" w:cs="宋体"/>
                <w:color w:val="auto"/>
                <w:sz w:val="21"/>
                <w:szCs w:val="21"/>
                <w:highlight w:val="none"/>
              </w:rPr>
            </w:pPr>
          </w:p>
          <w:p w14:paraId="1D38AF4E">
            <w:pPr>
              <w:widowControl w:val="0"/>
              <w:numPr>
                <w:ilvl w:val="0"/>
                <w:numId w:val="0"/>
              </w:numPr>
              <w:spacing w:line="360" w:lineRule="auto"/>
              <w:jc w:val="both"/>
              <w:rPr>
                <w:rFonts w:hint="eastAsia" w:ascii="宋体" w:hAnsi="宋体" w:eastAsia="宋体" w:cs="宋体"/>
                <w:color w:val="auto"/>
                <w:sz w:val="21"/>
                <w:szCs w:val="21"/>
                <w:highlight w:val="none"/>
                <w:lang w:val="en-US" w:eastAsia="zh-CN"/>
              </w:rPr>
            </w:pPr>
          </w:p>
          <w:tbl>
            <w:tblPr>
              <w:tblStyle w:val="16"/>
              <w:tblW w:w="23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5"/>
              <w:gridCol w:w="1595"/>
              <w:gridCol w:w="1491"/>
            </w:tblGrid>
            <w:tr w14:paraId="614D1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3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9E9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平均值</w:t>
                  </w:r>
                  <w:r>
                    <w:rPr>
                      <w:rFonts w:hint="eastAsia"/>
                      <w:sz w:val="21"/>
                      <w:szCs w:val="21"/>
                      <w:highlight w:val="none"/>
                      <w:lang w:val="en-US" w:eastAsia="zh-CN"/>
                    </w:rPr>
                    <w:t>/nm</w:t>
                  </w:r>
                </w:p>
              </w:tc>
              <w:tc>
                <w:tcPr>
                  <w:tcW w:w="187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2AF3">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color w:val="auto"/>
                      <w:sz w:val="21"/>
                      <w:szCs w:val="21"/>
                      <w:highlight w:val="none"/>
                    </w:rPr>
                    <w:t>测量重复性</w:t>
                  </w:r>
                  <w:r>
                    <w:rPr>
                      <w:rFonts w:hint="eastAsia"/>
                      <w:sz w:val="21"/>
                      <w:szCs w:val="21"/>
                      <w:highlight w:val="none"/>
                      <w:lang w:val="en-US" w:eastAsia="zh-CN"/>
                    </w:rPr>
                    <w:t>/nm</w:t>
                  </w:r>
                </w:p>
              </w:tc>
              <w:tc>
                <w:tcPr>
                  <w:tcW w:w="1749" w:type="pct"/>
                  <w:vMerge w:val="restart"/>
                  <w:tcBorders>
                    <w:top w:val="single" w:color="000000" w:sz="4" w:space="0"/>
                    <w:left w:val="single" w:color="000000" w:sz="4" w:space="0"/>
                    <w:right w:val="single" w:color="000000" w:sz="4" w:space="0"/>
                  </w:tcBorders>
                  <w:shd w:val="clear" w:color="auto" w:fill="auto"/>
                  <w:noWrap/>
                  <w:vAlign w:val="center"/>
                </w:tcPr>
                <w:p w14:paraId="4F801F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扩展不确定度</w:t>
                  </w:r>
                </w:p>
                <w:p w14:paraId="7E4A064E">
                  <w:pPr>
                    <w:keepNext w:val="0"/>
                    <w:keepLines w:val="0"/>
                    <w:widowControl/>
                    <w:suppressLineNumbers w:val="0"/>
                    <w:jc w:val="center"/>
                    <w:textAlignment w:val="center"/>
                    <w:rPr>
                      <w:rFonts w:hint="eastAsia" w:ascii="宋体" w:hAnsi="宋体" w:eastAsia="宋体" w:cs="宋体"/>
                      <w:color w:val="auto"/>
                      <w:sz w:val="21"/>
                      <w:szCs w:val="21"/>
                      <w:highlight w:val="none"/>
                    </w:rPr>
                  </w:pPr>
                  <w:r>
                    <w:rPr>
                      <w:i/>
                      <w:sz w:val="24"/>
                      <w:highlight w:val="none"/>
                    </w:rPr>
                    <w:t>U</w:t>
                  </w:r>
                  <w:r>
                    <w:rPr>
                      <w:sz w:val="24"/>
                      <w:highlight w:val="none"/>
                    </w:rPr>
                    <w:t>(</w:t>
                  </w:r>
                  <w:r>
                    <w:rPr>
                      <w:i/>
                      <w:iCs/>
                      <w:sz w:val="24"/>
                      <w:highlight w:val="none"/>
                    </w:rPr>
                    <w:t>λ</w:t>
                  </w:r>
                  <w:r>
                    <w:rPr>
                      <w:sz w:val="24"/>
                      <w:highlight w:val="none"/>
                    </w:rPr>
                    <w:t>)</w:t>
                  </w:r>
                  <w:r>
                    <w:rPr>
                      <w:rFonts w:hint="eastAsia"/>
                      <w:sz w:val="21"/>
                      <w:szCs w:val="21"/>
                      <w:highlight w:val="none"/>
                      <w:lang w:val="en-US" w:eastAsia="zh-CN"/>
                    </w:rPr>
                    <w:t xml:space="preserve"> </w:t>
                  </w: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/nm</w:t>
                  </w:r>
                </w:p>
              </w:tc>
            </w:tr>
            <w:tr w14:paraId="1A033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63F5">
                  <w:pPr>
                    <w:jc w:val="center"/>
                    <w:rPr>
                      <w:rFonts w:hint="eastAsia" w:ascii="宋体" w:hAnsi="宋体" w:eastAsia="宋体" w:cs="宋体"/>
                      <w:i w:val="0"/>
                      <w:iCs w:val="0"/>
                      <w:color w:val="000000"/>
                      <w:sz w:val="21"/>
                      <w:szCs w:val="21"/>
                      <w:u w:val="none"/>
                    </w:rPr>
                  </w:pPr>
                </w:p>
              </w:tc>
              <w:tc>
                <w:tcPr>
                  <w:tcW w:w="187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19B8">
                  <w:pPr>
                    <w:jc w:val="center"/>
                    <w:rPr>
                      <w:rFonts w:hint="eastAsia" w:ascii="宋体" w:hAnsi="宋体" w:eastAsia="宋体" w:cs="宋体"/>
                      <w:i w:val="0"/>
                      <w:iCs w:val="0"/>
                      <w:color w:val="000000"/>
                      <w:sz w:val="21"/>
                      <w:szCs w:val="21"/>
                      <w:u w:val="none"/>
                    </w:rPr>
                  </w:pPr>
                </w:p>
              </w:tc>
              <w:tc>
                <w:tcPr>
                  <w:tcW w:w="1749" w:type="pct"/>
                  <w:vMerge w:val="continue"/>
                  <w:tcBorders>
                    <w:left w:val="single" w:color="000000" w:sz="4" w:space="0"/>
                    <w:bottom w:val="single" w:color="000000" w:sz="4" w:space="0"/>
                    <w:right w:val="single" w:color="000000" w:sz="4" w:space="0"/>
                  </w:tcBorders>
                  <w:shd w:val="clear" w:color="auto" w:fill="auto"/>
                  <w:noWrap/>
                  <w:vAlign w:val="center"/>
                </w:tcPr>
                <w:p w14:paraId="477340D1">
                  <w:pPr>
                    <w:jc w:val="center"/>
                    <w:rPr>
                      <w:rFonts w:hint="eastAsia" w:ascii="宋体" w:hAnsi="宋体" w:eastAsia="宋体" w:cs="宋体"/>
                      <w:i w:val="0"/>
                      <w:iCs w:val="0"/>
                      <w:color w:val="000000"/>
                      <w:sz w:val="21"/>
                      <w:szCs w:val="21"/>
                      <w:u w:val="none"/>
                    </w:rPr>
                  </w:pPr>
                </w:p>
              </w:tc>
            </w:tr>
            <w:tr w14:paraId="6B1D3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2D4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61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602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2809A127">
            <w:pPr>
              <w:widowControl w:val="0"/>
              <w:numPr>
                <w:ilvl w:val="0"/>
                <w:numId w:val="0"/>
              </w:numPr>
              <w:spacing w:line="360" w:lineRule="auto"/>
              <w:ind w:leftChars="0"/>
              <w:jc w:val="both"/>
              <w:rPr>
                <w:rFonts w:hint="eastAsia" w:ascii="宋体" w:hAnsi="宋体" w:eastAsia="宋体" w:cs="宋体"/>
                <w:color w:val="auto"/>
                <w:sz w:val="21"/>
                <w:szCs w:val="21"/>
                <w:highlight w:val="none"/>
                <w:u w:val="none"/>
                <w:lang w:val="en-US" w:eastAsia="zh-CN"/>
              </w:rPr>
            </w:pPr>
          </w:p>
          <w:p w14:paraId="7EB3A3E3">
            <w:pPr>
              <w:ind w:firstLine="560" w:firstLineChars="200"/>
              <w:rPr>
                <w:rFonts w:hint="default" w:ascii="Times New Roman" w:hAnsi="Times New Roman" w:eastAsia="宋体" w:cs="Times New Roman"/>
                <w:color w:val="auto"/>
                <w:sz w:val="28"/>
                <w:szCs w:val="28"/>
                <w:highlight w:val="none"/>
              </w:rPr>
            </w:pPr>
          </w:p>
          <w:p w14:paraId="32DEC302">
            <w:pPr>
              <w:ind w:firstLine="420" w:firstLineChars="200"/>
              <w:rPr>
                <w:rFonts w:hint="default" w:ascii="Times New Roman" w:hAnsi="Times New Roman" w:eastAsia="宋体" w:cs="Times New Roman"/>
                <w:color w:val="auto"/>
                <w:szCs w:val="21"/>
                <w:highlight w:val="none"/>
              </w:rPr>
            </w:pPr>
          </w:p>
          <w:p w14:paraId="74AD7428">
            <w:pPr>
              <w:ind w:firstLine="420" w:firstLineChars="200"/>
              <w:rPr>
                <w:rFonts w:hint="default" w:ascii="Times New Roman" w:hAnsi="Times New Roman" w:eastAsia="宋体" w:cs="Times New Roman"/>
                <w:color w:val="auto"/>
                <w:szCs w:val="21"/>
                <w:highlight w:val="none"/>
              </w:rPr>
            </w:pPr>
          </w:p>
          <w:p w14:paraId="1E6A27E3">
            <w:pPr>
              <w:ind w:firstLine="420" w:firstLineChars="200"/>
              <w:rPr>
                <w:rFonts w:hint="default" w:ascii="Times New Roman" w:hAnsi="Times New Roman" w:eastAsia="宋体" w:cs="Times New Roman"/>
                <w:color w:val="auto"/>
                <w:szCs w:val="21"/>
                <w:highlight w:val="none"/>
              </w:rPr>
            </w:pPr>
          </w:p>
          <w:p w14:paraId="6BD234C6">
            <w:pPr>
              <w:ind w:firstLine="420" w:firstLineChars="200"/>
              <w:rPr>
                <w:rFonts w:hint="default" w:ascii="Times New Roman" w:hAnsi="Times New Roman" w:eastAsia="宋体" w:cs="Times New Roman"/>
                <w:color w:val="auto"/>
                <w:szCs w:val="21"/>
                <w:highlight w:val="none"/>
              </w:rPr>
            </w:pPr>
          </w:p>
          <w:p w14:paraId="32C077AF">
            <w:pPr>
              <w:ind w:firstLine="420" w:firstLineChars="200"/>
              <w:rPr>
                <w:rFonts w:hint="default" w:ascii="Times New Roman" w:hAnsi="Times New Roman" w:eastAsia="宋体" w:cs="Times New Roman"/>
                <w:color w:val="auto"/>
                <w:szCs w:val="21"/>
                <w:highlight w:val="none"/>
              </w:rPr>
            </w:pPr>
          </w:p>
          <w:p w14:paraId="7964E984">
            <w:pPr>
              <w:ind w:firstLine="420" w:firstLineChars="200"/>
              <w:rPr>
                <w:rFonts w:hint="default" w:ascii="Times New Roman" w:hAnsi="Times New Roman" w:eastAsia="宋体" w:cs="Times New Roman"/>
                <w:color w:val="auto"/>
                <w:szCs w:val="21"/>
                <w:highlight w:val="none"/>
              </w:rPr>
            </w:pPr>
          </w:p>
          <w:p w14:paraId="3EF90A78">
            <w:pPr>
              <w:ind w:firstLine="420" w:firstLineChars="200"/>
              <w:rPr>
                <w:rFonts w:hint="default" w:ascii="Times New Roman" w:hAnsi="Times New Roman" w:eastAsia="宋体" w:cs="Times New Roman"/>
                <w:color w:val="auto"/>
                <w:szCs w:val="21"/>
                <w:highlight w:val="none"/>
              </w:rPr>
            </w:pPr>
          </w:p>
          <w:p w14:paraId="56CF06EF">
            <w:pPr>
              <w:ind w:firstLine="420" w:firstLineChars="200"/>
              <w:rPr>
                <w:rFonts w:hint="default" w:ascii="Times New Roman" w:hAnsi="Times New Roman" w:eastAsia="宋体" w:cs="Times New Roman"/>
                <w:color w:val="auto"/>
                <w:szCs w:val="21"/>
                <w:highlight w:val="none"/>
              </w:rPr>
            </w:pPr>
          </w:p>
          <w:p w14:paraId="2A960175">
            <w:pPr>
              <w:ind w:firstLine="420" w:firstLineChars="200"/>
              <w:rPr>
                <w:rFonts w:hint="default" w:ascii="Times New Roman" w:hAnsi="Times New Roman" w:eastAsia="宋体" w:cs="Times New Roman"/>
                <w:color w:val="auto"/>
                <w:szCs w:val="21"/>
                <w:highlight w:val="none"/>
              </w:rPr>
            </w:pPr>
          </w:p>
          <w:p w14:paraId="704D150A">
            <w:pPr>
              <w:ind w:firstLine="420" w:firstLineChars="200"/>
              <w:rPr>
                <w:rFonts w:hint="default" w:ascii="Times New Roman" w:hAnsi="Times New Roman" w:eastAsia="宋体" w:cs="Times New Roman"/>
                <w:color w:val="auto"/>
                <w:szCs w:val="21"/>
                <w:highlight w:val="none"/>
              </w:rPr>
            </w:pPr>
          </w:p>
          <w:p w14:paraId="1665BCFA">
            <w:pPr>
              <w:ind w:firstLine="420" w:firstLineChars="200"/>
              <w:rPr>
                <w:rFonts w:hint="default" w:ascii="Times New Roman" w:hAnsi="Times New Roman" w:eastAsia="宋体" w:cs="Times New Roman"/>
                <w:color w:val="auto"/>
                <w:szCs w:val="21"/>
                <w:highlight w:val="none"/>
              </w:rPr>
            </w:pPr>
          </w:p>
          <w:p w14:paraId="4655F1F4">
            <w:pPr>
              <w:ind w:firstLine="420" w:firstLineChars="200"/>
              <w:rPr>
                <w:rFonts w:hint="default" w:ascii="Times New Roman" w:hAnsi="Times New Roman" w:eastAsia="宋体" w:cs="Times New Roman"/>
                <w:color w:val="auto"/>
                <w:szCs w:val="21"/>
                <w:highlight w:val="none"/>
              </w:rPr>
            </w:pPr>
          </w:p>
          <w:p w14:paraId="60F6F1D7">
            <w:pPr>
              <w:ind w:firstLine="420" w:firstLineChars="200"/>
              <w:rPr>
                <w:rFonts w:hint="default" w:ascii="Times New Roman" w:hAnsi="Times New Roman" w:eastAsia="宋体" w:cs="Times New Roman"/>
                <w:color w:val="auto"/>
                <w:szCs w:val="21"/>
                <w:highlight w:val="none"/>
              </w:rPr>
            </w:pPr>
          </w:p>
          <w:p w14:paraId="44FD79B5">
            <w:pPr>
              <w:ind w:firstLine="420" w:firstLineChars="200"/>
              <w:rPr>
                <w:rFonts w:hint="default" w:ascii="Times New Roman" w:hAnsi="Times New Roman" w:eastAsia="宋体" w:cs="Times New Roman"/>
                <w:color w:val="auto"/>
                <w:szCs w:val="21"/>
                <w:highlight w:val="none"/>
              </w:rPr>
            </w:pPr>
          </w:p>
          <w:p w14:paraId="6F196911">
            <w:pPr>
              <w:ind w:firstLine="420" w:firstLineChars="200"/>
              <w:rPr>
                <w:rFonts w:hint="default" w:ascii="Times New Roman" w:hAnsi="Times New Roman" w:eastAsia="宋体" w:cs="Times New Roman"/>
                <w:color w:val="auto"/>
                <w:szCs w:val="21"/>
                <w:highlight w:val="none"/>
              </w:rPr>
            </w:pPr>
          </w:p>
          <w:p w14:paraId="018E6BB2">
            <w:pPr>
              <w:ind w:firstLine="420" w:firstLineChars="200"/>
              <w:rPr>
                <w:rFonts w:hint="default" w:ascii="Times New Roman" w:hAnsi="Times New Roman" w:eastAsia="宋体" w:cs="Times New Roman"/>
                <w:color w:val="auto"/>
                <w:szCs w:val="21"/>
                <w:highlight w:val="none"/>
              </w:rPr>
            </w:pPr>
          </w:p>
          <w:p w14:paraId="24537EE0">
            <w:pPr>
              <w:ind w:firstLine="420" w:firstLineChars="200"/>
              <w:rPr>
                <w:rFonts w:hint="default" w:ascii="Times New Roman" w:hAnsi="Times New Roman" w:eastAsia="宋体" w:cs="Times New Roman"/>
                <w:color w:val="auto"/>
                <w:szCs w:val="21"/>
                <w:highlight w:val="none"/>
              </w:rPr>
            </w:pPr>
          </w:p>
          <w:p w14:paraId="36AAE407">
            <w:pPr>
              <w:ind w:firstLine="420" w:firstLineChars="200"/>
              <w:rPr>
                <w:rFonts w:hint="default" w:ascii="Times New Roman" w:hAnsi="Times New Roman" w:eastAsia="宋体" w:cs="Times New Roman"/>
                <w:color w:val="auto"/>
                <w:szCs w:val="21"/>
                <w:highlight w:val="none"/>
              </w:rPr>
            </w:pPr>
          </w:p>
          <w:p w14:paraId="61153D8A">
            <w:pPr>
              <w:ind w:firstLine="420" w:firstLineChars="200"/>
              <w:rPr>
                <w:rFonts w:hint="default" w:ascii="Times New Roman" w:hAnsi="Times New Roman" w:eastAsia="宋体" w:cs="Times New Roman"/>
                <w:color w:val="auto"/>
                <w:szCs w:val="21"/>
                <w:highlight w:val="none"/>
              </w:rPr>
            </w:pPr>
          </w:p>
          <w:p w14:paraId="674E62DA">
            <w:pPr>
              <w:ind w:firstLine="420" w:firstLineChars="200"/>
              <w:rPr>
                <w:rFonts w:hint="default" w:ascii="Times New Roman" w:hAnsi="Times New Roman" w:eastAsia="宋体" w:cs="Times New Roman"/>
                <w:color w:val="auto"/>
                <w:szCs w:val="21"/>
                <w:highlight w:val="none"/>
              </w:rPr>
            </w:pPr>
          </w:p>
          <w:p w14:paraId="2296FB90">
            <w:pPr>
              <w:ind w:firstLine="420" w:firstLineChars="200"/>
              <w:rPr>
                <w:rFonts w:hint="default" w:ascii="Times New Roman" w:hAnsi="Times New Roman" w:eastAsia="宋体" w:cs="Times New Roman"/>
                <w:color w:val="auto"/>
                <w:szCs w:val="21"/>
                <w:highlight w:val="none"/>
              </w:rPr>
            </w:pPr>
          </w:p>
          <w:p w14:paraId="50D8FB1C">
            <w:pPr>
              <w:ind w:firstLine="420" w:firstLineChars="200"/>
              <w:rPr>
                <w:rFonts w:hint="default" w:ascii="Times New Roman" w:hAnsi="Times New Roman" w:eastAsia="宋体" w:cs="Times New Roman"/>
                <w:color w:val="auto"/>
                <w:szCs w:val="21"/>
                <w:highlight w:val="none"/>
              </w:rPr>
            </w:pPr>
          </w:p>
          <w:p w14:paraId="77FC52AD">
            <w:pPr>
              <w:ind w:firstLine="420" w:firstLineChars="200"/>
              <w:rPr>
                <w:rFonts w:hint="default" w:ascii="Times New Roman" w:hAnsi="Times New Roman" w:eastAsia="宋体" w:cs="Times New Roman"/>
                <w:color w:val="auto"/>
                <w:szCs w:val="21"/>
                <w:highlight w:val="none"/>
              </w:rPr>
            </w:pPr>
          </w:p>
          <w:p w14:paraId="066E604B">
            <w:pPr>
              <w:ind w:firstLine="420" w:firstLineChars="200"/>
              <w:rPr>
                <w:rFonts w:hint="default" w:ascii="Times New Roman" w:hAnsi="Times New Roman" w:eastAsia="宋体" w:cs="Times New Roman"/>
                <w:color w:val="auto"/>
                <w:szCs w:val="21"/>
                <w:highlight w:val="none"/>
              </w:rPr>
            </w:pPr>
          </w:p>
          <w:p w14:paraId="60EC7E08">
            <w:pPr>
              <w:ind w:firstLine="420" w:firstLineChars="200"/>
              <w:rPr>
                <w:rFonts w:hint="default" w:ascii="Times New Roman" w:hAnsi="Times New Roman" w:eastAsia="宋体" w:cs="Times New Roman"/>
                <w:color w:val="auto"/>
                <w:szCs w:val="21"/>
                <w:highlight w:val="none"/>
              </w:rPr>
            </w:pPr>
          </w:p>
          <w:p w14:paraId="4578AD13">
            <w:pPr>
              <w:ind w:firstLine="420" w:firstLineChars="200"/>
              <w:rPr>
                <w:rFonts w:hint="default" w:ascii="Times New Roman" w:hAnsi="Times New Roman" w:eastAsia="宋体" w:cs="Times New Roman"/>
                <w:color w:val="auto"/>
                <w:szCs w:val="21"/>
                <w:highlight w:val="none"/>
              </w:rPr>
            </w:pPr>
          </w:p>
          <w:p w14:paraId="05D00F95">
            <w:pPr>
              <w:ind w:firstLine="420" w:firstLineChars="200"/>
              <w:rPr>
                <w:rFonts w:hint="default" w:ascii="Times New Roman" w:hAnsi="Times New Roman" w:eastAsia="宋体" w:cs="Times New Roman"/>
                <w:color w:val="auto"/>
                <w:szCs w:val="21"/>
                <w:highlight w:val="none"/>
              </w:rPr>
            </w:pPr>
          </w:p>
          <w:p w14:paraId="30332729">
            <w:pPr>
              <w:ind w:firstLine="420" w:firstLineChars="200"/>
              <w:rPr>
                <w:rFonts w:hint="default" w:ascii="Times New Roman" w:hAnsi="Times New Roman" w:eastAsia="宋体" w:cs="Times New Roman"/>
                <w:color w:val="auto"/>
                <w:szCs w:val="21"/>
                <w:highlight w:val="none"/>
              </w:rPr>
            </w:pPr>
          </w:p>
          <w:p w14:paraId="585780E2">
            <w:pPr>
              <w:ind w:firstLine="420" w:firstLineChars="200"/>
              <w:rPr>
                <w:rFonts w:hint="default" w:ascii="Times New Roman" w:hAnsi="Times New Roman" w:eastAsia="宋体" w:cs="Times New Roman"/>
                <w:color w:val="auto"/>
                <w:szCs w:val="21"/>
                <w:highlight w:val="none"/>
              </w:rPr>
            </w:pPr>
          </w:p>
          <w:p w14:paraId="7A9E502D">
            <w:pPr>
              <w:rPr>
                <w:rFonts w:hint="default" w:ascii="Times New Roman" w:hAnsi="Times New Roman" w:eastAsia="宋体" w:cs="Times New Roman"/>
                <w:color w:val="auto"/>
                <w:szCs w:val="21"/>
                <w:highlight w:val="none"/>
              </w:rPr>
            </w:pPr>
          </w:p>
          <w:p w14:paraId="410D7FB3">
            <w:pPr>
              <w:ind w:firstLine="42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 xml:space="preserve">校准：                                  核验：                  </w:t>
            </w:r>
          </w:p>
        </w:tc>
      </w:tr>
    </w:tbl>
    <w:p w14:paraId="72FB3222">
      <w:pPr>
        <w:spacing w:line="300" w:lineRule="auto"/>
        <w:ind w:leftChars="200"/>
        <w:rPr>
          <w:rFonts w:hint="eastAsia" w:ascii="仿宋" w:hAnsi="仿宋" w:eastAsia="仿宋" w:cs="仿宋"/>
          <w:color w:val="auto"/>
          <w:highlight w:val="none"/>
        </w:rPr>
      </w:pPr>
      <w:r>
        <w:rPr>
          <w:rFonts w:hint="eastAsia" w:ascii="仿宋" w:hAnsi="仿宋" w:eastAsia="仿宋" w:cs="仿宋"/>
          <w:color w:val="auto"/>
          <w:highlight w:val="none"/>
        </w:rPr>
        <w:t>注：</w:t>
      </w:r>
    </w:p>
    <w:p w14:paraId="1DD24262">
      <w:pPr>
        <w:numPr>
          <w:ilvl w:val="0"/>
          <w:numId w:val="0"/>
        </w:numPr>
        <w:adjustRightInd w:val="0"/>
        <w:spacing w:line="300" w:lineRule="auto"/>
        <w:ind w:left="780" w:leftChars="200" w:hanging="360" w:firstLineChars="0"/>
        <w:rPr>
          <w:rFonts w:hint="eastAsia" w:ascii="仿宋" w:hAnsi="仿宋" w:eastAsia="仿宋" w:cs="仿宋"/>
          <w:color w:val="auto"/>
          <w:highlight w:val="none"/>
        </w:rPr>
      </w:pPr>
      <w:r>
        <w:rPr>
          <w:rFonts w:hint="default" w:ascii="仿宋" w:hAnsi="仿宋" w:eastAsia="仿宋" w:cs="Times New Roman"/>
          <w:color w:val="auto"/>
          <w:kern w:val="2"/>
          <w:sz w:val="21"/>
          <w:szCs w:val="21"/>
          <w:highlight w:val="none"/>
          <w:lang w:val="en-US" w:eastAsia="zh-CN" w:bidi="ar-SA"/>
        </w:rPr>
        <w:t>1</w:t>
      </w:r>
      <w:r>
        <w:rPr>
          <w:rFonts w:hint="eastAsia" w:ascii="仿宋" w:hAnsi="仿宋" w:eastAsia="仿宋" w:cs="Times New Roman"/>
          <w:color w:val="auto"/>
          <w:kern w:val="2"/>
          <w:sz w:val="21"/>
          <w:szCs w:val="21"/>
          <w:highlight w:val="none"/>
          <w:lang w:val="en-US" w:eastAsia="zh-CN" w:bidi="ar-SA"/>
        </w:rPr>
        <w:t xml:space="preserve">  </w:t>
      </w:r>
      <w:r>
        <w:rPr>
          <w:rFonts w:hint="eastAsia" w:ascii="仿宋" w:hAnsi="仿宋" w:eastAsia="仿宋" w:cs="仿宋"/>
          <w:color w:val="auto"/>
          <w:highlight w:val="none"/>
        </w:rPr>
        <w:t>未经书面授权，不得部分复制本证书；</w:t>
      </w:r>
    </w:p>
    <w:p w14:paraId="6F61E508">
      <w:pPr>
        <w:numPr>
          <w:ilvl w:val="0"/>
          <w:numId w:val="0"/>
        </w:numPr>
        <w:adjustRightInd w:val="0"/>
        <w:spacing w:line="300" w:lineRule="auto"/>
        <w:ind w:left="780" w:leftChars="200" w:hanging="360" w:firstLineChars="0"/>
        <w:rPr>
          <w:rFonts w:hint="eastAsia" w:ascii="仿宋" w:hAnsi="仿宋" w:eastAsia="仿宋" w:cs="仿宋"/>
          <w:color w:val="auto"/>
          <w:highlight w:val="none"/>
          <w:lang w:eastAsia="zh-CN"/>
        </w:rPr>
      </w:pPr>
      <w:r>
        <w:rPr>
          <w:rFonts w:hint="default" w:ascii="仿宋" w:hAnsi="仿宋" w:eastAsia="仿宋" w:cs="Times New Roman"/>
          <w:color w:val="auto"/>
          <w:kern w:val="2"/>
          <w:sz w:val="21"/>
          <w:szCs w:val="21"/>
          <w:highlight w:val="none"/>
          <w:lang w:val="en-US" w:eastAsia="zh-CN" w:bidi="ar-SA"/>
        </w:rPr>
        <w:t>2</w:t>
      </w:r>
      <w:r>
        <w:rPr>
          <w:rFonts w:hint="eastAsia" w:ascii="仿宋" w:hAnsi="仿宋" w:eastAsia="仿宋" w:cs="Times New Roman"/>
          <w:color w:val="auto"/>
          <w:kern w:val="2"/>
          <w:sz w:val="21"/>
          <w:szCs w:val="21"/>
          <w:highlight w:val="none"/>
          <w:lang w:val="en-US" w:eastAsia="zh-CN" w:bidi="ar-SA"/>
        </w:rPr>
        <w:t xml:space="preserve">  </w:t>
      </w:r>
      <w:r>
        <w:rPr>
          <w:rFonts w:hint="eastAsia" w:ascii="仿宋" w:hAnsi="仿宋" w:eastAsia="仿宋" w:cs="仿宋"/>
          <w:color w:val="auto"/>
          <w:highlight w:val="none"/>
        </w:rPr>
        <w:t>本证书的校准结果仅对所校计量器具有效</w:t>
      </w:r>
      <w:r>
        <w:rPr>
          <w:rFonts w:hint="eastAsia" w:ascii="仿宋" w:hAnsi="仿宋" w:eastAsia="仿宋" w:cs="仿宋"/>
          <w:color w:val="auto"/>
          <w:highlight w:val="none"/>
          <w:lang w:eastAsia="zh-CN"/>
        </w:rPr>
        <w:t>。</w:t>
      </w:r>
    </w:p>
    <w:p w14:paraId="6EBD08C1">
      <w:pPr>
        <w:autoSpaceDE w:val="0"/>
        <w:autoSpaceDN w:val="0"/>
        <w:adjustRightInd w:val="0"/>
        <w:spacing w:before="156" w:beforeLines="50" w:after="156" w:afterLines="50" w:line="360" w:lineRule="auto"/>
        <w:rPr>
          <w:rFonts w:hint="default" w:ascii="Times New Roman" w:hAnsi="Times New Roman" w:eastAsia="宋体" w:cs="Times New Roman"/>
          <w:color w:val="auto"/>
          <w:highlight w:val="none"/>
        </w:rPr>
        <w:sectPr>
          <w:footerReference r:id="rId12" w:type="default"/>
          <w:pgSz w:w="11906" w:h="16838"/>
          <w:pgMar w:top="1264" w:right="1418" w:bottom="1418" w:left="1418" w:header="851" w:footer="992" w:gutter="0"/>
          <w:pgNumType w:start="15"/>
          <w:cols w:space="720" w:num="1"/>
          <w:docGrid w:type="lines" w:linePitch="312" w:charSpace="0"/>
        </w:sectPr>
      </w:pPr>
      <w:r>
        <w:rPr>
          <w:rFonts w:hint="default" w:ascii="Times New Roman" w:hAnsi="Times New Roman" w:eastAsia="宋体" w:cs="Times New Roman"/>
          <w:color w:val="auto"/>
          <w:highlight w:val="none"/>
        </w:rPr>
        <w:t>本证书未加盖校准专用章无效。</w:t>
      </w:r>
    </w:p>
    <w:p w14:paraId="0893266D">
      <w:pPr>
        <w:autoSpaceDE w:val="0"/>
        <w:autoSpaceDN w:val="0"/>
        <w:adjustRightInd w:val="0"/>
        <w:spacing w:before="156" w:beforeLines="50" w:after="156" w:afterLines="50" w:line="360" w:lineRule="auto"/>
        <w:rPr>
          <w:rFonts w:hint="eastAsia"/>
          <w:highlight w:val="none"/>
        </w:rPr>
      </w:pPr>
    </w:p>
    <w:p w14:paraId="2F9C132D">
      <w:pPr>
        <w:spacing w:line="360" w:lineRule="auto"/>
        <w:rPr>
          <w:rFonts w:hint="eastAsia"/>
          <w:highlight w:val="none"/>
        </w:rPr>
      </w:pPr>
    </w:p>
    <w:p w14:paraId="2706BF05">
      <w:pPr>
        <w:spacing w:line="360" w:lineRule="auto"/>
        <w:rPr>
          <w:rFonts w:hint="eastAsia"/>
          <w:highlight w:val="none"/>
        </w:rPr>
      </w:pPr>
    </w:p>
    <w:p w14:paraId="354C13FD">
      <w:pPr>
        <w:pStyle w:val="6"/>
        <w:tabs>
          <w:tab w:val="left" w:pos="425"/>
        </w:tabs>
        <w:spacing w:before="120" w:after="120" w:line="360" w:lineRule="auto"/>
        <w:ind w:left="0" w:right="222" w:firstLine="0"/>
        <w:rPr>
          <w:color w:val="000000"/>
          <w:sz w:val="24"/>
          <w:szCs w:val="24"/>
          <w:highlight w:val="none"/>
        </w:rPr>
      </w:pPr>
    </w:p>
    <w:p w14:paraId="2C219E73">
      <w:pPr>
        <w:pStyle w:val="6"/>
        <w:tabs>
          <w:tab w:val="left" w:pos="425"/>
        </w:tabs>
        <w:spacing w:before="120" w:after="120" w:line="360" w:lineRule="auto"/>
        <w:ind w:left="0" w:right="222" w:firstLine="0"/>
        <w:rPr>
          <w:color w:val="000000"/>
          <w:sz w:val="24"/>
          <w:szCs w:val="24"/>
          <w:highlight w:val="none"/>
        </w:rPr>
      </w:pPr>
    </w:p>
    <w:p w14:paraId="119225FB">
      <w:pPr>
        <w:pStyle w:val="43"/>
        <w:ind w:firstLine="0" w:firstLineChars="0"/>
        <w:rPr>
          <w:color w:val="000000"/>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5951220</wp:posOffset>
                </wp:positionH>
                <wp:positionV relativeFrom="paragraph">
                  <wp:posOffset>-318135</wp:posOffset>
                </wp:positionV>
                <wp:extent cx="417830" cy="2683510"/>
                <wp:effectExtent l="0" t="0" r="0" b="0"/>
                <wp:wrapNone/>
                <wp:docPr id="7" name="Text Box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17830" cy="2683510"/>
                        </a:xfrm>
                        <a:prstGeom prst="rect">
                          <a:avLst/>
                        </a:prstGeom>
                        <a:noFill/>
                        <a:ln>
                          <a:noFill/>
                        </a:ln>
                        <a:effectLst/>
                      </wps:spPr>
                      <wps:txbx>
                        <w:txbxContent>
                          <w:p w14:paraId="7260204C">
                            <w:pPr>
                              <w:jc w:val="right"/>
                              <w:rPr>
                                <w:b/>
                                <w:sz w:val="28"/>
                                <w:szCs w:val="28"/>
                              </w:rPr>
                            </w:pPr>
                            <w:r>
                              <w:rPr>
                                <w:rFonts w:hint="eastAsia"/>
                                <w:b/>
                                <w:sz w:val="28"/>
                                <w:szCs w:val="28"/>
                              </w:rPr>
                              <w:t>JJF</w:t>
                            </w:r>
                            <w:r>
                              <w:rPr>
                                <w:rFonts w:hint="eastAsia"/>
                                <w:b/>
                                <w:sz w:val="28"/>
                                <w:szCs w:val="28"/>
                                <w:lang w:val="en-US" w:eastAsia="zh-CN"/>
                              </w:rPr>
                              <w:t xml:space="preserve"> </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wps:txbx>
                      <wps:bodyPr rot="0" vert="vert270" wrap="square" lIns="91440" tIns="45720" rIns="91440" bIns="45720" anchor="t" anchorCtr="0" upright="1">
                        <a:noAutofit/>
                      </wps:bodyPr>
                    </wps:wsp>
                  </a:graphicData>
                </a:graphic>
              </wp:anchor>
            </w:drawing>
          </mc:Choice>
          <mc:Fallback>
            <w:pict>
              <v:shape id="Text Box 167" o:spid="_x0000_s1026" o:spt="202" type="#_x0000_t202" style="position:absolute;left:0pt;margin-left:468.6pt;margin-top:-25.05pt;height:211.3pt;width:32.9pt;z-index:251663360;mso-width-relative:page;mso-height-relative:page;" filled="f" stroked="f" coordsize="21600,21600" o:gfxdata="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ICrLTbAAAADAEAAA8A&#10;AAAAAAAAAQAgAAAAIgAAAGRycy9kb3ducmV2LnhtbFBLAQIUABQAAAAIAIdO4kAsfF+uFAIAADoE&#10;AAAOAAAAAAAAAAEAIAAAACoBAABkcnMvZTJvRG9jLnhtbFBLBQYAAAAABgAGAFkBAACwBQAAAAA=&#10;">
                <v:fill on="f" focussize="0,0"/>
                <v:stroke on="f"/>
                <v:imagedata o:title=""/>
                <o:lock v:ext="edit" aspectratio="t"/>
                <v:textbox style="layout-flow:vertical;mso-layout-flow-alt:bottom-to-top;">
                  <w:txbxContent>
                    <w:p w14:paraId="7260204C">
                      <w:pPr>
                        <w:jc w:val="right"/>
                        <w:rPr>
                          <w:b/>
                          <w:sz w:val="28"/>
                          <w:szCs w:val="28"/>
                        </w:rPr>
                      </w:pPr>
                      <w:r>
                        <w:rPr>
                          <w:rFonts w:hint="eastAsia"/>
                          <w:b/>
                          <w:sz w:val="28"/>
                          <w:szCs w:val="28"/>
                        </w:rPr>
                        <w:t>JJF</w:t>
                      </w:r>
                      <w:r>
                        <w:rPr>
                          <w:rFonts w:hint="eastAsia"/>
                          <w:b/>
                          <w:sz w:val="28"/>
                          <w:szCs w:val="28"/>
                          <w:lang w:val="en-US" w:eastAsia="zh-CN"/>
                        </w:rPr>
                        <w:t xml:space="preserve"> </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v:textbox>
              </v:shape>
            </w:pict>
          </mc:Fallback>
        </mc:AlternateContent>
      </w:r>
    </w:p>
    <w:p w14:paraId="3AC1E0E9">
      <w:pPr>
        <w:rPr>
          <w:color w:val="000000"/>
          <w:highlight w:val="none"/>
        </w:rPr>
      </w:pPr>
    </w:p>
    <w:p w14:paraId="04FD6C3A">
      <w:pPr>
        <w:rPr>
          <w:color w:val="000000"/>
          <w:highlight w:val="none"/>
        </w:rPr>
      </w:pPr>
    </w:p>
    <w:p w14:paraId="2009D7D0">
      <w:pPr>
        <w:rPr>
          <w:color w:val="000000"/>
          <w:highlight w:val="none"/>
        </w:rPr>
      </w:pPr>
    </w:p>
    <w:p w14:paraId="754F6E4F">
      <w:pPr>
        <w:rPr>
          <w:color w:val="000000"/>
          <w:highlight w:val="none"/>
        </w:rPr>
      </w:pPr>
    </w:p>
    <w:p w14:paraId="68AC43DD">
      <w:pPr>
        <w:rPr>
          <w:color w:val="000000"/>
          <w:highlight w:val="none"/>
        </w:rPr>
      </w:pPr>
    </w:p>
    <w:p w14:paraId="00108371">
      <w:pPr>
        <w:rPr>
          <w:color w:val="000000"/>
          <w:highlight w:val="none"/>
        </w:rPr>
      </w:pPr>
    </w:p>
    <w:p w14:paraId="01B44B5A">
      <w:pPr>
        <w:rPr>
          <w:color w:val="000000"/>
          <w:highlight w:val="none"/>
        </w:rPr>
      </w:pPr>
    </w:p>
    <w:p w14:paraId="0FF37105">
      <w:pPr>
        <w:rPr>
          <w:color w:val="000000"/>
          <w:highlight w:val="none"/>
        </w:rPr>
      </w:pPr>
    </w:p>
    <w:p w14:paraId="3A18CFEB">
      <w:pPr>
        <w:rPr>
          <w:color w:val="000000"/>
          <w:highlight w:val="none"/>
        </w:rPr>
      </w:pPr>
    </w:p>
    <w:p w14:paraId="05E62813">
      <w:pPr>
        <w:rPr>
          <w:color w:val="000000"/>
          <w:highlight w:val="none"/>
        </w:rPr>
      </w:pPr>
    </w:p>
    <w:p w14:paraId="60C9828B">
      <w:pPr>
        <w:rPr>
          <w:color w:val="000000"/>
          <w:highlight w:val="none"/>
        </w:rPr>
      </w:pPr>
    </w:p>
    <w:p w14:paraId="35A10611">
      <w:pPr>
        <w:rPr>
          <w:color w:val="000000"/>
          <w:highlight w:val="none"/>
        </w:rPr>
      </w:pPr>
    </w:p>
    <w:p w14:paraId="6C98A894">
      <w:pPr>
        <w:rPr>
          <w:color w:val="000000"/>
          <w:highlight w:val="none"/>
        </w:rPr>
      </w:pPr>
    </w:p>
    <w:p w14:paraId="1F192283">
      <w:pPr>
        <w:rPr>
          <w:color w:val="000000"/>
          <w:highlight w:val="none"/>
        </w:rPr>
      </w:pPr>
    </w:p>
    <w:p w14:paraId="21E42112">
      <w:pPr>
        <w:rPr>
          <w:color w:val="000000"/>
          <w:highlight w:val="none"/>
        </w:rPr>
      </w:pPr>
    </w:p>
    <w:p w14:paraId="27CD9AFD">
      <w:pPr>
        <w:rPr>
          <w:color w:val="000000"/>
          <w:highlight w:val="none"/>
        </w:rPr>
      </w:pPr>
    </w:p>
    <w:p w14:paraId="2A8BE550">
      <w:pPr>
        <w:rPr>
          <w:color w:val="000000"/>
          <w:highlight w:val="none"/>
        </w:rPr>
      </w:pPr>
    </w:p>
    <w:p w14:paraId="42DCC9AE">
      <w:pPr>
        <w:rPr>
          <w:color w:val="000000"/>
          <w:highlight w:val="none"/>
        </w:rPr>
      </w:pPr>
    </w:p>
    <w:p w14:paraId="5EBFC23C">
      <w:pPr>
        <w:rPr>
          <w:color w:val="000000"/>
          <w:highlight w:val="none"/>
        </w:rPr>
      </w:pPr>
    </w:p>
    <w:p w14:paraId="228F169F">
      <w:pPr>
        <w:rPr>
          <w:color w:val="000000"/>
          <w:highlight w:val="none"/>
        </w:rPr>
      </w:pPr>
    </w:p>
    <w:p w14:paraId="37B62526">
      <w:pPr>
        <w:rPr>
          <w:color w:val="000000"/>
          <w:highlight w:val="none"/>
        </w:rPr>
      </w:pPr>
    </w:p>
    <w:p w14:paraId="1C18FE48">
      <w:pPr>
        <w:rPr>
          <w:color w:val="000000"/>
          <w:highlight w:val="none"/>
        </w:rPr>
      </w:pPr>
    </w:p>
    <w:p w14:paraId="6095FA46">
      <w:pPr>
        <w:rPr>
          <w:color w:val="000000"/>
          <w:highlight w:val="none"/>
        </w:rPr>
      </w:pPr>
    </w:p>
    <w:p w14:paraId="50B1DF52">
      <w:pPr>
        <w:rPr>
          <w:color w:val="000000"/>
          <w:highlight w:val="none"/>
        </w:rPr>
      </w:pPr>
    </w:p>
    <w:p w14:paraId="6DC82350">
      <w:pPr>
        <w:spacing w:line="324" w:lineRule="auto"/>
        <w:jc w:val="center"/>
        <w:rPr>
          <w:color w:val="000000"/>
          <w:spacing w:val="30"/>
          <w:sz w:val="28"/>
          <w:szCs w:val="28"/>
          <w:highlight w:val="none"/>
        </w:rPr>
      </w:pPr>
      <w:r>
        <w:rPr>
          <w:rFonts w:hint="eastAsia"/>
          <w:color w:val="000000"/>
          <w:spacing w:val="30"/>
          <w:sz w:val="28"/>
          <w:szCs w:val="28"/>
          <w:highlight w:val="none"/>
        </w:rPr>
        <w:t>中华人民共和国</w:t>
      </w:r>
    </w:p>
    <w:p w14:paraId="32995866">
      <w:pPr>
        <w:spacing w:line="324" w:lineRule="auto"/>
        <w:jc w:val="center"/>
        <w:rPr>
          <w:color w:val="000000"/>
          <w:spacing w:val="30"/>
          <w:sz w:val="28"/>
          <w:szCs w:val="28"/>
          <w:highlight w:val="none"/>
        </w:rPr>
      </w:pPr>
      <w:r>
        <w:rPr>
          <w:rFonts w:hint="eastAsia"/>
          <w:color w:val="000000"/>
          <w:spacing w:val="30"/>
          <w:sz w:val="28"/>
          <w:szCs w:val="28"/>
          <w:highlight w:val="none"/>
        </w:rPr>
        <w:t>国家计量技术规范</w:t>
      </w:r>
    </w:p>
    <w:p w14:paraId="085C495E">
      <w:pPr>
        <w:spacing w:line="324" w:lineRule="auto"/>
        <w:jc w:val="center"/>
        <w:rPr>
          <w:rFonts w:eastAsia="黑体"/>
          <w:color w:val="000000"/>
          <w:spacing w:val="50"/>
          <w:sz w:val="28"/>
          <w:szCs w:val="28"/>
          <w:highlight w:val="none"/>
        </w:rPr>
      </w:pPr>
      <w:r>
        <w:rPr>
          <w:rFonts w:hint="eastAsia" w:eastAsia="黑体"/>
          <w:color w:val="000000"/>
          <w:spacing w:val="50"/>
          <w:sz w:val="28"/>
          <w:szCs w:val="28"/>
          <w:highlight w:val="none"/>
          <w:lang w:val="en-US" w:eastAsia="zh-CN"/>
        </w:rPr>
        <w:t>电泳光散射法zeta电位仪</w:t>
      </w:r>
      <w:r>
        <w:rPr>
          <w:rFonts w:eastAsia="黑体"/>
          <w:color w:val="000000"/>
          <w:spacing w:val="50"/>
          <w:sz w:val="28"/>
          <w:szCs w:val="28"/>
          <w:highlight w:val="none"/>
        </w:rPr>
        <w:t>校准规范</w:t>
      </w:r>
    </w:p>
    <w:p w14:paraId="64BBB4E2">
      <w:pPr>
        <w:spacing w:line="324" w:lineRule="auto"/>
        <w:jc w:val="center"/>
        <w:rPr>
          <w:b/>
          <w:color w:val="000000"/>
          <w:sz w:val="28"/>
          <w:szCs w:val="28"/>
          <w:highlight w:val="none"/>
        </w:rPr>
      </w:pPr>
      <w:r>
        <w:rPr>
          <w:b/>
          <w:color w:val="000000"/>
          <w:sz w:val="28"/>
          <w:szCs w:val="28"/>
          <w:highlight w:val="none"/>
        </w:rPr>
        <w:t>JJF</w:t>
      </w:r>
      <w:r>
        <w:rPr>
          <w:rFonts w:hint="eastAsia"/>
          <w:b/>
          <w:color w:val="000000"/>
          <w:sz w:val="28"/>
          <w:szCs w:val="28"/>
          <w:highlight w:val="none"/>
          <w:lang w:val="en-US" w:eastAsia="zh-CN"/>
        </w:rPr>
        <w:t xml:space="preserve"> </w:t>
      </w:r>
      <w:r>
        <w:rPr>
          <w:rFonts w:eastAsia="黑体"/>
          <w:color w:val="000000"/>
          <w:sz w:val="28"/>
          <w:szCs w:val="28"/>
          <w:highlight w:val="none"/>
        </w:rPr>
        <w:t>XXXX</w:t>
      </w:r>
      <w:r>
        <w:rPr>
          <w:color w:val="000000"/>
          <w:sz w:val="28"/>
          <w:szCs w:val="28"/>
          <w:highlight w:val="none"/>
        </w:rPr>
        <w:t>—</w:t>
      </w:r>
      <w:r>
        <w:rPr>
          <w:rFonts w:eastAsia="黑体"/>
          <w:color w:val="000000"/>
          <w:sz w:val="28"/>
          <w:szCs w:val="28"/>
          <w:highlight w:val="none"/>
        </w:rPr>
        <w:t>XXXX</w:t>
      </w:r>
    </w:p>
    <w:p w14:paraId="47449345">
      <w:pPr>
        <w:spacing w:line="324" w:lineRule="auto"/>
        <w:jc w:val="center"/>
        <w:rPr>
          <w:rFonts w:hint="eastAsia"/>
          <w:color w:val="000000"/>
          <w:highlight w:val="none"/>
        </w:rPr>
      </w:pPr>
      <w:r>
        <w:rPr>
          <w:rFonts w:hint="eastAsia"/>
          <w:color w:val="000000"/>
          <w:spacing w:val="20"/>
          <w:sz w:val="28"/>
          <w:szCs w:val="28"/>
          <w:highlight w:val="none"/>
        </w:rPr>
        <w:t>国家市场监督管理总局</w:t>
      </w:r>
      <w:r>
        <w:rPr>
          <w:color w:val="000000"/>
          <w:spacing w:val="20"/>
          <w:sz w:val="28"/>
          <w:szCs w:val="28"/>
          <w:highlight w:val="none"/>
        </w:rPr>
        <w:t>发布</w:t>
      </w:r>
    </w:p>
    <w:sectPr>
      <w:footerReference r:id="rId13" w:type="default"/>
      <w:pgSz w:w="11906" w:h="16838"/>
      <w:pgMar w:top="1264" w:right="1418" w:bottom="1418" w:left="1418" w:header="851" w:footer="992" w:gutter="0"/>
      <w:pgNumType w:start="1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auto"/>
    <w:pitch w:val="default"/>
    <w:sig w:usb0="00000000" w:usb1="00000000" w:usb2="00000000" w:usb3="00000000" w:csb0="00040001" w:csb1="00000000"/>
  </w:font>
  <w:font w:name="方正大黑简体">
    <w:altName w:val="宋体"/>
    <w:panose1 w:val="02010601030101010101"/>
    <w:charset w:val="86"/>
    <w:family w:val="auto"/>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Bahnschrift SemiLight SemiCondensed">
    <w:panose1 w:val="020B0502040204020203"/>
    <w:charset w:val="00"/>
    <w:family w:val="auto"/>
    <w:pitch w:val="default"/>
    <w:sig w:usb0="A00002C7" w:usb1="00000002"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7D2E1">
    <w:pPr>
      <w:pStyle w:val="10"/>
      <w:jc w:val="center"/>
      <w:rPr>
        <w:rFonts w:hint="eastAsia"/>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91A6">
    <w:pPr>
      <w:pStyle w:val="10"/>
      <w:ind w:firstLine="8640" w:firstLineChars="4800"/>
      <w:rPr>
        <w:rFonts w:hint="eastAsia"/>
      </w:rPr>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884FF">
    <w:pPr>
      <w:pStyle w:val="1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E83B8">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0E26A7B0">
    <w:pPr>
      <w:pStyle w:val="1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538A9">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612493A8">
    <w:pPr>
      <w:pStyle w:val="1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52EF7">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35E68E81">
    <w:pPr>
      <w:pStyle w:val="1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6A9">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0B5E923B">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9E1">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99DA0">
    <w:pPr>
      <w:pStyle w:val="11"/>
      <w:rPr>
        <w:rFonts w:hint="eastAsia"/>
        <w:b/>
        <w:bCs/>
        <w:sz w:val="24"/>
      </w:rPr>
    </w:pPr>
  </w:p>
  <w:p w14:paraId="2DDC2A6F">
    <w:pPr>
      <w:pStyle w:val="11"/>
      <w:rPr>
        <w:sz w:val="24"/>
      </w:rPr>
    </w:pPr>
    <w:r>
      <w:rPr>
        <w:rFonts w:hint="eastAsia" w:ascii="黑体" w:hAnsi="黑体" w:eastAsia="黑体"/>
        <w:b/>
        <w:bCs/>
        <w:sz w:val="21"/>
        <w:szCs w:val="21"/>
      </w:rPr>
      <w:t>JJF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4E23D">
    <w:pPr>
      <w:pStyle w:val="11"/>
      <w:rPr>
        <w:rFonts w:hint="eastAsia"/>
        <w:lang w:eastAsia="zh-CN"/>
      </w:rPr>
    </w:pPr>
    <w:r>
      <w:rPr>
        <w:rFonts w:hint="eastAsia"/>
        <w:lang w:eastAsia="zh-CN"/>
      </w:rPr>
      <w:t>JJF XXXX</w:t>
    </w:r>
    <w:r>
      <w:t>-</w:t>
    </w:r>
    <w:r>
      <w:rPr>
        <w:rFonts w:hint="eastAsia"/>
        <w:lang w:eastAsia="zh-CN"/>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5A9E2">
    <w:pPr>
      <w:pStyle w:val="11"/>
      <w:rPr>
        <w:rFonts w:hint="eastAsia" w:ascii="黑体" w:hAnsi="黑体" w:eastAsia="黑体"/>
        <w:sz w:val="21"/>
        <w:szCs w:val="21"/>
        <w:lang w:eastAsia="zh-CN"/>
      </w:rPr>
    </w:pPr>
    <w:r>
      <w:rPr>
        <w:rFonts w:hint="eastAsia" w:ascii="黑体" w:hAnsi="黑体" w:eastAsia="黑体"/>
        <w:sz w:val="21"/>
        <w:szCs w:val="21"/>
        <w:lang w:eastAsia="zh-CN"/>
      </w:rPr>
      <w:t>JJF XXXX</w:t>
    </w:r>
    <w:r>
      <w:rPr>
        <w:rFonts w:ascii="黑体" w:hAnsi="黑体" w:eastAsia="黑体"/>
        <w:sz w:val="21"/>
        <w:szCs w:val="21"/>
      </w:rPr>
      <w:t>-</w:t>
    </w:r>
    <w:r>
      <w:rPr>
        <w:rFonts w:hint="eastAsia" w:ascii="黑体" w:hAnsi="黑体" w:eastAsia="黑体"/>
        <w:sz w:val="21"/>
        <w:szCs w:val="21"/>
        <w:lang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87632E"/>
    <w:multiLevelType w:val="singleLevel"/>
    <w:tmpl w:val="4087632E"/>
    <w:lvl w:ilvl="0" w:tentative="0">
      <w:start w:val="1"/>
      <w:numFmt w:val="decimal"/>
      <w:suff w:val="space"/>
      <w:lvlText w:val="%1."/>
      <w:lvlJc w:val="left"/>
    </w:lvl>
  </w:abstractNum>
  <w:abstractNum w:abstractNumId="1">
    <w:nsid w:val="5A69A460"/>
    <w:multiLevelType w:val="singleLevel"/>
    <w:tmpl w:val="5A69A460"/>
    <w:lvl w:ilvl="0" w:tentative="0">
      <w:start w:val="1"/>
      <w:numFmt w:val="decimal"/>
      <w:suff w:val="space"/>
      <w:lvlText w:val="%1."/>
      <w:lvlJc w:val="left"/>
    </w:lvl>
  </w:abstractNum>
  <w:abstractNum w:abstractNumId="2">
    <w:nsid w:val="7DF99718"/>
    <w:multiLevelType w:val="singleLevel"/>
    <w:tmpl w:val="7DF99718"/>
    <w:lvl w:ilvl="0" w:tentative="0">
      <w:start w:val="3"/>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hyphenationZone w:val="36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numFmt w:val="decimalFullWidth"/>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D405D8"/>
    <w:rsid w:val="0000049F"/>
    <w:rsid w:val="00004D99"/>
    <w:rsid w:val="00004DB0"/>
    <w:rsid w:val="00007E8D"/>
    <w:rsid w:val="0001516D"/>
    <w:rsid w:val="0001519C"/>
    <w:rsid w:val="000153C6"/>
    <w:rsid w:val="00024155"/>
    <w:rsid w:val="000304C7"/>
    <w:rsid w:val="00031DD5"/>
    <w:rsid w:val="000325F8"/>
    <w:rsid w:val="000414CE"/>
    <w:rsid w:val="00050D2E"/>
    <w:rsid w:val="0006290B"/>
    <w:rsid w:val="00065859"/>
    <w:rsid w:val="000718BE"/>
    <w:rsid w:val="0007397F"/>
    <w:rsid w:val="000739A2"/>
    <w:rsid w:val="00077085"/>
    <w:rsid w:val="00077782"/>
    <w:rsid w:val="00081EE8"/>
    <w:rsid w:val="000820E2"/>
    <w:rsid w:val="0009004A"/>
    <w:rsid w:val="00090800"/>
    <w:rsid w:val="0009410B"/>
    <w:rsid w:val="000A10F1"/>
    <w:rsid w:val="000A4A21"/>
    <w:rsid w:val="000A6D98"/>
    <w:rsid w:val="000B265F"/>
    <w:rsid w:val="000B787D"/>
    <w:rsid w:val="000C097B"/>
    <w:rsid w:val="000C0B2B"/>
    <w:rsid w:val="000C134C"/>
    <w:rsid w:val="000C3E71"/>
    <w:rsid w:val="000E6736"/>
    <w:rsid w:val="000E7181"/>
    <w:rsid w:val="000F29A1"/>
    <w:rsid w:val="00103585"/>
    <w:rsid w:val="0011182A"/>
    <w:rsid w:val="001139A7"/>
    <w:rsid w:val="001322D1"/>
    <w:rsid w:val="00140F98"/>
    <w:rsid w:val="00143E86"/>
    <w:rsid w:val="00146D0A"/>
    <w:rsid w:val="00152C19"/>
    <w:rsid w:val="00154D3E"/>
    <w:rsid w:val="0016303A"/>
    <w:rsid w:val="001669D4"/>
    <w:rsid w:val="00167EF5"/>
    <w:rsid w:val="0017637E"/>
    <w:rsid w:val="00176FC7"/>
    <w:rsid w:val="001826FD"/>
    <w:rsid w:val="00190592"/>
    <w:rsid w:val="001951EE"/>
    <w:rsid w:val="001A3B0B"/>
    <w:rsid w:val="001B3873"/>
    <w:rsid w:val="001C6169"/>
    <w:rsid w:val="001C68C2"/>
    <w:rsid w:val="001D02A6"/>
    <w:rsid w:val="001D23AE"/>
    <w:rsid w:val="001D4A06"/>
    <w:rsid w:val="001E0EC9"/>
    <w:rsid w:val="001E13DB"/>
    <w:rsid w:val="001F1A58"/>
    <w:rsid w:val="001F630D"/>
    <w:rsid w:val="001F789A"/>
    <w:rsid w:val="0020123B"/>
    <w:rsid w:val="00201512"/>
    <w:rsid w:val="002104BA"/>
    <w:rsid w:val="0021162B"/>
    <w:rsid w:val="002141E8"/>
    <w:rsid w:val="0022466F"/>
    <w:rsid w:val="00226FE3"/>
    <w:rsid w:val="00232998"/>
    <w:rsid w:val="0024018E"/>
    <w:rsid w:val="0024054E"/>
    <w:rsid w:val="00243D48"/>
    <w:rsid w:val="00251519"/>
    <w:rsid w:val="002561B7"/>
    <w:rsid w:val="00257510"/>
    <w:rsid w:val="00267243"/>
    <w:rsid w:val="00271708"/>
    <w:rsid w:val="0027383D"/>
    <w:rsid w:val="002807CD"/>
    <w:rsid w:val="00281439"/>
    <w:rsid w:val="00290767"/>
    <w:rsid w:val="00294A20"/>
    <w:rsid w:val="0029639D"/>
    <w:rsid w:val="002A1B6F"/>
    <w:rsid w:val="002A7B84"/>
    <w:rsid w:val="002C323C"/>
    <w:rsid w:val="002C33B0"/>
    <w:rsid w:val="002D3071"/>
    <w:rsid w:val="002D3210"/>
    <w:rsid w:val="002D40F6"/>
    <w:rsid w:val="002F646D"/>
    <w:rsid w:val="00301E17"/>
    <w:rsid w:val="00305D1C"/>
    <w:rsid w:val="00311835"/>
    <w:rsid w:val="00315B55"/>
    <w:rsid w:val="0032313F"/>
    <w:rsid w:val="00335CFB"/>
    <w:rsid w:val="00352780"/>
    <w:rsid w:val="00364C66"/>
    <w:rsid w:val="00370495"/>
    <w:rsid w:val="003729EA"/>
    <w:rsid w:val="00372A71"/>
    <w:rsid w:val="0037542D"/>
    <w:rsid w:val="003826AD"/>
    <w:rsid w:val="00382BAE"/>
    <w:rsid w:val="00384394"/>
    <w:rsid w:val="0039543F"/>
    <w:rsid w:val="00395870"/>
    <w:rsid w:val="003B01F3"/>
    <w:rsid w:val="003B4F80"/>
    <w:rsid w:val="003B712C"/>
    <w:rsid w:val="003C1B1C"/>
    <w:rsid w:val="003D7C43"/>
    <w:rsid w:val="003E1E72"/>
    <w:rsid w:val="003E20DE"/>
    <w:rsid w:val="003F10DE"/>
    <w:rsid w:val="00406008"/>
    <w:rsid w:val="00417690"/>
    <w:rsid w:val="0042738C"/>
    <w:rsid w:val="004347D9"/>
    <w:rsid w:val="00436022"/>
    <w:rsid w:val="00437344"/>
    <w:rsid w:val="0044401A"/>
    <w:rsid w:val="0044537D"/>
    <w:rsid w:val="004516C1"/>
    <w:rsid w:val="0045573A"/>
    <w:rsid w:val="00457A47"/>
    <w:rsid w:val="00460196"/>
    <w:rsid w:val="00465DD9"/>
    <w:rsid w:val="00467637"/>
    <w:rsid w:val="00471E9E"/>
    <w:rsid w:val="004756E2"/>
    <w:rsid w:val="00482D3E"/>
    <w:rsid w:val="004922D1"/>
    <w:rsid w:val="00493F4F"/>
    <w:rsid w:val="00495913"/>
    <w:rsid w:val="00495DC6"/>
    <w:rsid w:val="004A274B"/>
    <w:rsid w:val="004A4E6E"/>
    <w:rsid w:val="004A7103"/>
    <w:rsid w:val="004B40F6"/>
    <w:rsid w:val="004B438C"/>
    <w:rsid w:val="004B675D"/>
    <w:rsid w:val="004C7CD4"/>
    <w:rsid w:val="004D649A"/>
    <w:rsid w:val="004D77C6"/>
    <w:rsid w:val="004E039D"/>
    <w:rsid w:val="004E0E28"/>
    <w:rsid w:val="004E2DE3"/>
    <w:rsid w:val="004E4331"/>
    <w:rsid w:val="004F09FF"/>
    <w:rsid w:val="004F0E08"/>
    <w:rsid w:val="00502FAF"/>
    <w:rsid w:val="00504190"/>
    <w:rsid w:val="00505F22"/>
    <w:rsid w:val="00511EE7"/>
    <w:rsid w:val="00514C1F"/>
    <w:rsid w:val="0053061A"/>
    <w:rsid w:val="00535508"/>
    <w:rsid w:val="00541BA0"/>
    <w:rsid w:val="00550E29"/>
    <w:rsid w:val="0056453C"/>
    <w:rsid w:val="00567FA5"/>
    <w:rsid w:val="00581B39"/>
    <w:rsid w:val="00581BD8"/>
    <w:rsid w:val="005876E5"/>
    <w:rsid w:val="005A6105"/>
    <w:rsid w:val="005A61B6"/>
    <w:rsid w:val="005B3CBA"/>
    <w:rsid w:val="005B6D29"/>
    <w:rsid w:val="005B7924"/>
    <w:rsid w:val="005C20E4"/>
    <w:rsid w:val="005C6741"/>
    <w:rsid w:val="005C6ADC"/>
    <w:rsid w:val="005D3C0A"/>
    <w:rsid w:val="005D645F"/>
    <w:rsid w:val="005F22A1"/>
    <w:rsid w:val="005F2E3A"/>
    <w:rsid w:val="005F6350"/>
    <w:rsid w:val="00602342"/>
    <w:rsid w:val="00603397"/>
    <w:rsid w:val="00605129"/>
    <w:rsid w:val="00612581"/>
    <w:rsid w:val="00621743"/>
    <w:rsid w:val="00624E65"/>
    <w:rsid w:val="00625E44"/>
    <w:rsid w:val="0062662A"/>
    <w:rsid w:val="006268D0"/>
    <w:rsid w:val="00633BCD"/>
    <w:rsid w:val="00635C3E"/>
    <w:rsid w:val="00635D6B"/>
    <w:rsid w:val="0064388D"/>
    <w:rsid w:val="00654111"/>
    <w:rsid w:val="00673604"/>
    <w:rsid w:val="006754AB"/>
    <w:rsid w:val="006771FD"/>
    <w:rsid w:val="00680829"/>
    <w:rsid w:val="00683EAF"/>
    <w:rsid w:val="00686C86"/>
    <w:rsid w:val="006877FD"/>
    <w:rsid w:val="00695E87"/>
    <w:rsid w:val="006A1ADF"/>
    <w:rsid w:val="006A6C84"/>
    <w:rsid w:val="006B116D"/>
    <w:rsid w:val="006B14A7"/>
    <w:rsid w:val="006B1DCF"/>
    <w:rsid w:val="006C29E1"/>
    <w:rsid w:val="006C439E"/>
    <w:rsid w:val="006C5EE5"/>
    <w:rsid w:val="006D4D3F"/>
    <w:rsid w:val="006E36B0"/>
    <w:rsid w:val="00705CE7"/>
    <w:rsid w:val="00706A5B"/>
    <w:rsid w:val="00707888"/>
    <w:rsid w:val="00713B52"/>
    <w:rsid w:val="007227B5"/>
    <w:rsid w:val="0072409F"/>
    <w:rsid w:val="0072471D"/>
    <w:rsid w:val="0072710B"/>
    <w:rsid w:val="007275DA"/>
    <w:rsid w:val="00742931"/>
    <w:rsid w:val="00742E64"/>
    <w:rsid w:val="00743CE8"/>
    <w:rsid w:val="007526C4"/>
    <w:rsid w:val="007550A8"/>
    <w:rsid w:val="00756218"/>
    <w:rsid w:val="0076739A"/>
    <w:rsid w:val="0077628A"/>
    <w:rsid w:val="00777F74"/>
    <w:rsid w:val="0078193A"/>
    <w:rsid w:val="0078201C"/>
    <w:rsid w:val="00784A34"/>
    <w:rsid w:val="0078541B"/>
    <w:rsid w:val="00790EF3"/>
    <w:rsid w:val="00794F72"/>
    <w:rsid w:val="007A1658"/>
    <w:rsid w:val="007A34F3"/>
    <w:rsid w:val="007A48B7"/>
    <w:rsid w:val="007B2960"/>
    <w:rsid w:val="007B2DB2"/>
    <w:rsid w:val="007B63C2"/>
    <w:rsid w:val="007E11DF"/>
    <w:rsid w:val="007E314D"/>
    <w:rsid w:val="007F2130"/>
    <w:rsid w:val="007F65EF"/>
    <w:rsid w:val="007F7077"/>
    <w:rsid w:val="00803849"/>
    <w:rsid w:val="00806556"/>
    <w:rsid w:val="0080765A"/>
    <w:rsid w:val="008104E3"/>
    <w:rsid w:val="0081149A"/>
    <w:rsid w:val="00817591"/>
    <w:rsid w:val="008405E9"/>
    <w:rsid w:val="00843DA2"/>
    <w:rsid w:val="00847094"/>
    <w:rsid w:val="008660BF"/>
    <w:rsid w:val="00866737"/>
    <w:rsid w:val="00875FF3"/>
    <w:rsid w:val="0088693C"/>
    <w:rsid w:val="00893932"/>
    <w:rsid w:val="008944D0"/>
    <w:rsid w:val="0089506C"/>
    <w:rsid w:val="00896255"/>
    <w:rsid w:val="008A1217"/>
    <w:rsid w:val="008A3E56"/>
    <w:rsid w:val="008A7343"/>
    <w:rsid w:val="008B0368"/>
    <w:rsid w:val="008B0C1A"/>
    <w:rsid w:val="008C313F"/>
    <w:rsid w:val="008C36EB"/>
    <w:rsid w:val="008C5D32"/>
    <w:rsid w:val="008C6C96"/>
    <w:rsid w:val="008D0DED"/>
    <w:rsid w:val="008D1E05"/>
    <w:rsid w:val="008D4039"/>
    <w:rsid w:val="008F07E2"/>
    <w:rsid w:val="00901349"/>
    <w:rsid w:val="009038E3"/>
    <w:rsid w:val="00912106"/>
    <w:rsid w:val="00913914"/>
    <w:rsid w:val="00914FB7"/>
    <w:rsid w:val="00940570"/>
    <w:rsid w:val="00940716"/>
    <w:rsid w:val="00943A0B"/>
    <w:rsid w:val="009444C8"/>
    <w:rsid w:val="00944B78"/>
    <w:rsid w:val="009461FD"/>
    <w:rsid w:val="00954C3F"/>
    <w:rsid w:val="009551D2"/>
    <w:rsid w:val="0096795B"/>
    <w:rsid w:val="00971479"/>
    <w:rsid w:val="0097224D"/>
    <w:rsid w:val="00973731"/>
    <w:rsid w:val="00977FF5"/>
    <w:rsid w:val="0098035F"/>
    <w:rsid w:val="00983B47"/>
    <w:rsid w:val="009907A4"/>
    <w:rsid w:val="0099106B"/>
    <w:rsid w:val="009917BD"/>
    <w:rsid w:val="00994048"/>
    <w:rsid w:val="00995BEB"/>
    <w:rsid w:val="009B3E06"/>
    <w:rsid w:val="009B56C5"/>
    <w:rsid w:val="009B65EF"/>
    <w:rsid w:val="009C17F2"/>
    <w:rsid w:val="009C5241"/>
    <w:rsid w:val="009C7D47"/>
    <w:rsid w:val="009D0F46"/>
    <w:rsid w:val="009D76CB"/>
    <w:rsid w:val="009E084C"/>
    <w:rsid w:val="009E5767"/>
    <w:rsid w:val="009F179A"/>
    <w:rsid w:val="009F6894"/>
    <w:rsid w:val="009F7A26"/>
    <w:rsid w:val="00A029B5"/>
    <w:rsid w:val="00A03B51"/>
    <w:rsid w:val="00A10D2C"/>
    <w:rsid w:val="00A167F7"/>
    <w:rsid w:val="00A20CD4"/>
    <w:rsid w:val="00A30B8C"/>
    <w:rsid w:val="00A43B8D"/>
    <w:rsid w:val="00A4663B"/>
    <w:rsid w:val="00A47C5E"/>
    <w:rsid w:val="00A522D8"/>
    <w:rsid w:val="00A5347E"/>
    <w:rsid w:val="00A62E03"/>
    <w:rsid w:val="00A73462"/>
    <w:rsid w:val="00A747D7"/>
    <w:rsid w:val="00A75C7A"/>
    <w:rsid w:val="00A84BDF"/>
    <w:rsid w:val="00A91D2D"/>
    <w:rsid w:val="00A93166"/>
    <w:rsid w:val="00A95377"/>
    <w:rsid w:val="00A95FF8"/>
    <w:rsid w:val="00AA26AC"/>
    <w:rsid w:val="00AA49E9"/>
    <w:rsid w:val="00AA64CF"/>
    <w:rsid w:val="00AA6E91"/>
    <w:rsid w:val="00AA7609"/>
    <w:rsid w:val="00AB48F8"/>
    <w:rsid w:val="00AB6DD9"/>
    <w:rsid w:val="00AC080A"/>
    <w:rsid w:val="00AC0868"/>
    <w:rsid w:val="00AC5734"/>
    <w:rsid w:val="00AD20DE"/>
    <w:rsid w:val="00AE0351"/>
    <w:rsid w:val="00AE6317"/>
    <w:rsid w:val="00AF50F7"/>
    <w:rsid w:val="00AF586B"/>
    <w:rsid w:val="00B0797E"/>
    <w:rsid w:val="00B12D06"/>
    <w:rsid w:val="00B17273"/>
    <w:rsid w:val="00B2052E"/>
    <w:rsid w:val="00B2108D"/>
    <w:rsid w:val="00B23E2A"/>
    <w:rsid w:val="00B24C8C"/>
    <w:rsid w:val="00B335F6"/>
    <w:rsid w:val="00B36797"/>
    <w:rsid w:val="00B368FE"/>
    <w:rsid w:val="00B422EB"/>
    <w:rsid w:val="00B45226"/>
    <w:rsid w:val="00B566C4"/>
    <w:rsid w:val="00B64A4F"/>
    <w:rsid w:val="00B65426"/>
    <w:rsid w:val="00B74B35"/>
    <w:rsid w:val="00B75FC8"/>
    <w:rsid w:val="00B84299"/>
    <w:rsid w:val="00B9206A"/>
    <w:rsid w:val="00B968CB"/>
    <w:rsid w:val="00B9751D"/>
    <w:rsid w:val="00BA4B34"/>
    <w:rsid w:val="00BA601B"/>
    <w:rsid w:val="00BB0DEF"/>
    <w:rsid w:val="00BB156E"/>
    <w:rsid w:val="00BB1DFD"/>
    <w:rsid w:val="00BB5114"/>
    <w:rsid w:val="00BC0FCF"/>
    <w:rsid w:val="00BC7130"/>
    <w:rsid w:val="00BC72E9"/>
    <w:rsid w:val="00BE2D7E"/>
    <w:rsid w:val="00BF3BEA"/>
    <w:rsid w:val="00BF5491"/>
    <w:rsid w:val="00C00848"/>
    <w:rsid w:val="00C00B4D"/>
    <w:rsid w:val="00C03248"/>
    <w:rsid w:val="00C0515D"/>
    <w:rsid w:val="00C055AC"/>
    <w:rsid w:val="00C0612C"/>
    <w:rsid w:val="00C104B8"/>
    <w:rsid w:val="00C11745"/>
    <w:rsid w:val="00C12C31"/>
    <w:rsid w:val="00C2272A"/>
    <w:rsid w:val="00C23577"/>
    <w:rsid w:val="00C41C49"/>
    <w:rsid w:val="00C42F5D"/>
    <w:rsid w:val="00C43579"/>
    <w:rsid w:val="00C43878"/>
    <w:rsid w:val="00C502C0"/>
    <w:rsid w:val="00C510DE"/>
    <w:rsid w:val="00C56EDB"/>
    <w:rsid w:val="00C72A8B"/>
    <w:rsid w:val="00C7533E"/>
    <w:rsid w:val="00C82A3D"/>
    <w:rsid w:val="00C83936"/>
    <w:rsid w:val="00C84EF4"/>
    <w:rsid w:val="00C91CFE"/>
    <w:rsid w:val="00CA1C24"/>
    <w:rsid w:val="00CA3963"/>
    <w:rsid w:val="00CB13F5"/>
    <w:rsid w:val="00CB1B8A"/>
    <w:rsid w:val="00CB4EC4"/>
    <w:rsid w:val="00CC6360"/>
    <w:rsid w:val="00CD257D"/>
    <w:rsid w:val="00CD6630"/>
    <w:rsid w:val="00CE67D0"/>
    <w:rsid w:val="00CE7749"/>
    <w:rsid w:val="00CF269F"/>
    <w:rsid w:val="00CF4827"/>
    <w:rsid w:val="00CF643C"/>
    <w:rsid w:val="00D039C9"/>
    <w:rsid w:val="00D05A8F"/>
    <w:rsid w:val="00D07A75"/>
    <w:rsid w:val="00D1010C"/>
    <w:rsid w:val="00D111C3"/>
    <w:rsid w:val="00D23242"/>
    <w:rsid w:val="00D25DF1"/>
    <w:rsid w:val="00D270AB"/>
    <w:rsid w:val="00D33051"/>
    <w:rsid w:val="00D405D8"/>
    <w:rsid w:val="00D41842"/>
    <w:rsid w:val="00D43315"/>
    <w:rsid w:val="00D475D3"/>
    <w:rsid w:val="00D515E7"/>
    <w:rsid w:val="00D61D3A"/>
    <w:rsid w:val="00D62931"/>
    <w:rsid w:val="00D65D00"/>
    <w:rsid w:val="00D736CA"/>
    <w:rsid w:val="00D76FE5"/>
    <w:rsid w:val="00D81635"/>
    <w:rsid w:val="00D81E19"/>
    <w:rsid w:val="00D86215"/>
    <w:rsid w:val="00D9565D"/>
    <w:rsid w:val="00DA3314"/>
    <w:rsid w:val="00DA3793"/>
    <w:rsid w:val="00DA5004"/>
    <w:rsid w:val="00DA50E6"/>
    <w:rsid w:val="00DB094D"/>
    <w:rsid w:val="00DB3E5B"/>
    <w:rsid w:val="00DB67F7"/>
    <w:rsid w:val="00DB6BC9"/>
    <w:rsid w:val="00DC1B11"/>
    <w:rsid w:val="00DD52A3"/>
    <w:rsid w:val="00DD55A9"/>
    <w:rsid w:val="00DD5AB0"/>
    <w:rsid w:val="00DE44A6"/>
    <w:rsid w:val="00DF1654"/>
    <w:rsid w:val="00E00D5B"/>
    <w:rsid w:val="00E06020"/>
    <w:rsid w:val="00E10D5B"/>
    <w:rsid w:val="00E12764"/>
    <w:rsid w:val="00E21C95"/>
    <w:rsid w:val="00E23182"/>
    <w:rsid w:val="00E252EE"/>
    <w:rsid w:val="00E2628B"/>
    <w:rsid w:val="00E265F3"/>
    <w:rsid w:val="00E33AC6"/>
    <w:rsid w:val="00E600B9"/>
    <w:rsid w:val="00E67F0C"/>
    <w:rsid w:val="00E700B2"/>
    <w:rsid w:val="00E71B23"/>
    <w:rsid w:val="00E73576"/>
    <w:rsid w:val="00E76862"/>
    <w:rsid w:val="00E77195"/>
    <w:rsid w:val="00E77484"/>
    <w:rsid w:val="00E82FFE"/>
    <w:rsid w:val="00E863D5"/>
    <w:rsid w:val="00E910C5"/>
    <w:rsid w:val="00E95761"/>
    <w:rsid w:val="00E96D8B"/>
    <w:rsid w:val="00EA029E"/>
    <w:rsid w:val="00EA29B3"/>
    <w:rsid w:val="00EA4619"/>
    <w:rsid w:val="00EC0060"/>
    <w:rsid w:val="00EC138E"/>
    <w:rsid w:val="00EC3482"/>
    <w:rsid w:val="00ED0DA4"/>
    <w:rsid w:val="00ED22E9"/>
    <w:rsid w:val="00ED2806"/>
    <w:rsid w:val="00ED51BE"/>
    <w:rsid w:val="00EE206E"/>
    <w:rsid w:val="00EE6CA9"/>
    <w:rsid w:val="00EE7A19"/>
    <w:rsid w:val="00EF60CA"/>
    <w:rsid w:val="00EF7646"/>
    <w:rsid w:val="00F01959"/>
    <w:rsid w:val="00F039D4"/>
    <w:rsid w:val="00F13B7C"/>
    <w:rsid w:val="00F22851"/>
    <w:rsid w:val="00F22F08"/>
    <w:rsid w:val="00F26BBA"/>
    <w:rsid w:val="00F30DFE"/>
    <w:rsid w:val="00F368EF"/>
    <w:rsid w:val="00F50CDF"/>
    <w:rsid w:val="00F50FB6"/>
    <w:rsid w:val="00F55014"/>
    <w:rsid w:val="00F7006C"/>
    <w:rsid w:val="00F72953"/>
    <w:rsid w:val="00F75475"/>
    <w:rsid w:val="00F843EF"/>
    <w:rsid w:val="00F8576D"/>
    <w:rsid w:val="00FA21E1"/>
    <w:rsid w:val="00FB1B82"/>
    <w:rsid w:val="00FB2141"/>
    <w:rsid w:val="00FB229F"/>
    <w:rsid w:val="00FB3B39"/>
    <w:rsid w:val="00FB6936"/>
    <w:rsid w:val="00FB69D1"/>
    <w:rsid w:val="00FB74F3"/>
    <w:rsid w:val="00FC0CD8"/>
    <w:rsid w:val="00FC4EDF"/>
    <w:rsid w:val="00FC6546"/>
    <w:rsid w:val="00FD051F"/>
    <w:rsid w:val="00FD5388"/>
    <w:rsid w:val="00FE6E21"/>
    <w:rsid w:val="00FF4AC3"/>
    <w:rsid w:val="00FF7530"/>
    <w:rsid w:val="013730A5"/>
    <w:rsid w:val="013B0DE8"/>
    <w:rsid w:val="01704B98"/>
    <w:rsid w:val="01732366"/>
    <w:rsid w:val="01A17E30"/>
    <w:rsid w:val="01A87AFF"/>
    <w:rsid w:val="01B666C0"/>
    <w:rsid w:val="01C901A1"/>
    <w:rsid w:val="01E63300"/>
    <w:rsid w:val="01F134F6"/>
    <w:rsid w:val="0205236C"/>
    <w:rsid w:val="0217518B"/>
    <w:rsid w:val="021A09FD"/>
    <w:rsid w:val="0223031E"/>
    <w:rsid w:val="02300582"/>
    <w:rsid w:val="02755DFE"/>
    <w:rsid w:val="02917848"/>
    <w:rsid w:val="029717D8"/>
    <w:rsid w:val="029A1B3E"/>
    <w:rsid w:val="02A538E1"/>
    <w:rsid w:val="02B96468"/>
    <w:rsid w:val="02E828A9"/>
    <w:rsid w:val="030E5A2F"/>
    <w:rsid w:val="032B26AF"/>
    <w:rsid w:val="03323B24"/>
    <w:rsid w:val="034D6BB0"/>
    <w:rsid w:val="035F534D"/>
    <w:rsid w:val="03661A20"/>
    <w:rsid w:val="038F265D"/>
    <w:rsid w:val="03BC7892"/>
    <w:rsid w:val="03C54999"/>
    <w:rsid w:val="03DF1EFE"/>
    <w:rsid w:val="03E2554B"/>
    <w:rsid w:val="03E67016"/>
    <w:rsid w:val="03FE341B"/>
    <w:rsid w:val="041D05EF"/>
    <w:rsid w:val="043438CC"/>
    <w:rsid w:val="044955CA"/>
    <w:rsid w:val="044B1847"/>
    <w:rsid w:val="049802FF"/>
    <w:rsid w:val="04C81AE6"/>
    <w:rsid w:val="04F25C61"/>
    <w:rsid w:val="05045994"/>
    <w:rsid w:val="05047743"/>
    <w:rsid w:val="058014BF"/>
    <w:rsid w:val="0587246B"/>
    <w:rsid w:val="058934F9"/>
    <w:rsid w:val="05AB5E10"/>
    <w:rsid w:val="05D84E57"/>
    <w:rsid w:val="05E03D0C"/>
    <w:rsid w:val="05FE4192"/>
    <w:rsid w:val="060F639F"/>
    <w:rsid w:val="06113EC5"/>
    <w:rsid w:val="062C51A3"/>
    <w:rsid w:val="06486258"/>
    <w:rsid w:val="065B5A88"/>
    <w:rsid w:val="066F6E3E"/>
    <w:rsid w:val="067508F8"/>
    <w:rsid w:val="067B4FB4"/>
    <w:rsid w:val="06A349AC"/>
    <w:rsid w:val="06AB60C8"/>
    <w:rsid w:val="06D03D80"/>
    <w:rsid w:val="071023CF"/>
    <w:rsid w:val="071F2612"/>
    <w:rsid w:val="07503E2A"/>
    <w:rsid w:val="076A0618"/>
    <w:rsid w:val="07AC02E9"/>
    <w:rsid w:val="07CA4C73"/>
    <w:rsid w:val="08314CF2"/>
    <w:rsid w:val="084722E3"/>
    <w:rsid w:val="087F780C"/>
    <w:rsid w:val="08A454C4"/>
    <w:rsid w:val="08A46AC2"/>
    <w:rsid w:val="093525C0"/>
    <w:rsid w:val="093920B1"/>
    <w:rsid w:val="093A4C95"/>
    <w:rsid w:val="095C5D9F"/>
    <w:rsid w:val="095E1B17"/>
    <w:rsid w:val="09622C8A"/>
    <w:rsid w:val="0970184A"/>
    <w:rsid w:val="09722434"/>
    <w:rsid w:val="09BD2543"/>
    <w:rsid w:val="09CB5366"/>
    <w:rsid w:val="09E63BE5"/>
    <w:rsid w:val="09F2400E"/>
    <w:rsid w:val="09FB1021"/>
    <w:rsid w:val="0A2543E3"/>
    <w:rsid w:val="0A2F7010"/>
    <w:rsid w:val="0A4A3E4A"/>
    <w:rsid w:val="0A514413"/>
    <w:rsid w:val="0A670558"/>
    <w:rsid w:val="0A8D02CC"/>
    <w:rsid w:val="0AAE262A"/>
    <w:rsid w:val="0AB17B03"/>
    <w:rsid w:val="0ACC2AB1"/>
    <w:rsid w:val="0B1A7CC0"/>
    <w:rsid w:val="0B2823DD"/>
    <w:rsid w:val="0B4E34C6"/>
    <w:rsid w:val="0B5605CC"/>
    <w:rsid w:val="0BC8771C"/>
    <w:rsid w:val="0BD62973"/>
    <w:rsid w:val="0C1D7685"/>
    <w:rsid w:val="0C3E60CD"/>
    <w:rsid w:val="0C476893"/>
    <w:rsid w:val="0C4F1BEB"/>
    <w:rsid w:val="0C50396E"/>
    <w:rsid w:val="0C517711"/>
    <w:rsid w:val="0CC04897"/>
    <w:rsid w:val="0CCE0D62"/>
    <w:rsid w:val="0CFA1B57"/>
    <w:rsid w:val="0D0F4ED6"/>
    <w:rsid w:val="0D1D2F6F"/>
    <w:rsid w:val="0D60376D"/>
    <w:rsid w:val="0D6E7E4F"/>
    <w:rsid w:val="0D731909"/>
    <w:rsid w:val="0DAE649D"/>
    <w:rsid w:val="0DB57E04"/>
    <w:rsid w:val="0DC91529"/>
    <w:rsid w:val="0DF27F5C"/>
    <w:rsid w:val="0E0B7D94"/>
    <w:rsid w:val="0E440BB0"/>
    <w:rsid w:val="0E545297"/>
    <w:rsid w:val="0E6B25E0"/>
    <w:rsid w:val="0EB675B9"/>
    <w:rsid w:val="0EB67D00"/>
    <w:rsid w:val="0EDE1004"/>
    <w:rsid w:val="0EE10C2D"/>
    <w:rsid w:val="0F032819"/>
    <w:rsid w:val="0F2C75EB"/>
    <w:rsid w:val="0F694D72"/>
    <w:rsid w:val="0F7A7366"/>
    <w:rsid w:val="0F8971C2"/>
    <w:rsid w:val="0FA62D3A"/>
    <w:rsid w:val="0FD21598"/>
    <w:rsid w:val="0FD83CA6"/>
    <w:rsid w:val="0FDF6DE2"/>
    <w:rsid w:val="10030D22"/>
    <w:rsid w:val="10152804"/>
    <w:rsid w:val="102C6932"/>
    <w:rsid w:val="10321608"/>
    <w:rsid w:val="10501A8E"/>
    <w:rsid w:val="10507CE0"/>
    <w:rsid w:val="10613C9B"/>
    <w:rsid w:val="107240FA"/>
    <w:rsid w:val="10935E18"/>
    <w:rsid w:val="110F36F7"/>
    <w:rsid w:val="11140D0D"/>
    <w:rsid w:val="11322BE5"/>
    <w:rsid w:val="11867E5D"/>
    <w:rsid w:val="11A6405B"/>
    <w:rsid w:val="11BF07CF"/>
    <w:rsid w:val="11EB5F12"/>
    <w:rsid w:val="11EC57E6"/>
    <w:rsid w:val="12045226"/>
    <w:rsid w:val="120A783A"/>
    <w:rsid w:val="12244F80"/>
    <w:rsid w:val="1283614B"/>
    <w:rsid w:val="12A601B2"/>
    <w:rsid w:val="130628D8"/>
    <w:rsid w:val="130F5C30"/>
    <w:rsid w:val="1319085D"/>
    <w:rsid w:val="13313D59"/>
    <w:rsid w:val="13370CE3"/>
    <w:rsid w:val="13405DEA"/>
    <w:rsid w:val="135427C6"/>
    <w:rsid w:val="135E2714"/>
    <w:rsid w:val="136E7DCD"/>
    <w:rsid w:val="13781A27"/>
    <w:rsid w:val="13B3480E"/>
    <w:rsid w:val="13F20092"/>
    <w:rsid w:val="141571BE"/>
    <w:rsid w:val="14B46A8F"/>
    <w:rsid w:val="15082937"/>
    <w:rsid w:val="152D2C78"/>
    <w:rsid w:val="152F4368"/>
    <w:rsid w:val="154A4DA1"/>
    <w:rsid w:val="15610299"/>
    <w:rsid w:val="15836462"/>
    <w:rsid w:val="15F1161D"/>
    <w:rsid w:val="16157A01"/>
    <w:rsid w:val="16290F14"/>
    <w:rsid w:val="16435C83"/>
    <w:rsid w:val="16530BCE"/>
    <w:rsid w:val="1674297A"/>
    <w:rsid w:val="168A61B7"/>
    <w:rsid w:val="16BA3A50"/>
    <w:rsid w:val="16CB4564"/>
    <w:rsid w:val="1715758D"/>
    <w:rsid w:val="1726179A"/>
    <w:rsid w:val="17531E09"/>
    <w:rsid w:val="17590DDA"/>
    <w:rsid w:val="17593CCF"/>
    <w:rsid w:val="17716EB9"/>
    <w:rsid w:val="177B5642"/>
    <w:rsid w:val="17935082"/>
    <w:rsid w:val="17BA0860"/>
    <w:rsid w:val="17BF5E77"/>
    <w:rsid w:val="17C47411"/>
    <w:rsid w:val="17EC5B05"/>
    <w:rsid w:val="17F84EE5"/>
    <w:rsid w:val="18117D55"/>
    <w:rsid w:val="18653FFC"/>
    <w:rsid w:val="18B21538"/>
    <w:rsid w:val="18B52DD6"/>
    <w:rsid w:val="18C43019"/>
    <w:rsid w:val="18EF5A71"/>
    <w:rsid w:val="18FA651D"/>
    <w:rsid w:val="18FD33A8"/>
    <w:rsid w:val="19072600"/>
    <w:rsid w:val="190B50EC"/>
    <w:rsid w:val="19393A07"/>
    <w:rsid w:val="19404D95"/>
    <w:rsid w:val="19527FF1"/>
    <w:rsid w:val="19C257AA"/>
    <w:rsid w:val="19F619C4"/>
    <w:rsid w:val="19F65454"/>
    <w:rsid w:val="1A073B05"/>
    <w:rsid w:val="1A2975D8"/>
    <w:rsid w:val="1A3C3108"/>
    <w:rsid w:val="1A444411"/>
    <w:rsid w:val="1AE67E9B"/>
    <w:rsid w:val="1B3E3B5F"/>
    <w:rsid w:val="1B481CDF"/>
    <w:rsid w:val="1BD96DDB"/>
    <w:rsid w:val="1C44694B"/>
    <w:rsid w:val="1C60574F"/>
    <w:rsid w:val="1C6C5EA1"/>
    <w:rsid w:val="1C901B90"/>
    <w:rsid w:val="1C914402"/>
    <w:rsid w:val="1C9D5011"/>
    <w:rsid w:val="1CA218C3"/>
    <w:rsid w:val="1CA613B3"/>
    <w:rsid w:val="1CA94A00"/>
    <w:rsid w:val="1CED6FE2"/>
    <w:rsid w:val="1D13456F"/>
    <w:rsid w:val="1D3123AC"/>
    <w:rsid w:val="1D446EFB"/>
    <w:rsid w:val="1D6D1ED1"/>
    <w:rsid w:val="1D9C27B6"/>
    <w:rsid w:val="1DCD471E"/>
    <w:rsid w:val="1DFB74DD"/>
    <w:rsid w:val="1E14059F"/>
    <w:rsid w:val="1E5135A1"/>
    <w:rsid w:val="1E5D0198"/>
    <w:rsid w:val="1E812ECA"/>
    <w:rsid w:val="1E917E41"/>
    <w:rsid w:val="1EA71413"/>
    <w:rsid w:val="1ECC0E79"/>
    <w:rsid w:val="1ED32208"/>
    <w:rsid w:val="1EFD2680"/>
    <w:rsid w:val="1F0625DD"/>
    <w:rsid w:val="1F091823"/>
    <w:rsid w:val="1F3128D3"/>
    <w:rsid w:val="1F394761"/>
    <w:rsid w:val="1F444EB4"/>
    <w:rsid w:val="1F4D1FBA"/>
    <w:rsid w:val="1FC5305C"/>
    <w:rsid w:val="1FD224BF"/>
    <w:rsid w:val="1FD812EC"/>
    <w:rsid w:val="1FDC50EC"/>
    <w:rsid w:val="1FF40688"/>
    <w:rsid w:val="20976AB4"/>
    <w:rsid w:val="20A976C4"/>
    <w:rsid w:val="20CC5161"/>
    <w:rsid w:val="20ED750E"/>
    <w:rsid w:val="210E5779"/>
    <w:rsid w:val="211563F1"/>
    <w:rsid w:val="2116462E"/>
    <w:rsid w:val="21212DF9"/>
    <w:rsid w:val="21333432"/>
    <w:rsid w:val="21537630"/>
    <w:rsid w:val="216A0307"/>
    <w:rsid w:val="21A97250"/>
    <w:rsid w:val="21DE15EF"/>
    <w:rsid w:val="21F46E37"/>
    <w:rsid w:val="22032E04"/>
    <w:rsid w:val="22CD081E"/>
    <w:rsid w:val="22CE3412"/>
    <w:rsid w:val="230B4F2D"/>
    <w:rsid w:val="23411E36"/>
    <w:rsid w:val="237044C9"/>
    <w:rsid w:val="23802B27"/>
    <w:rsid w:val="239D1036"/>
    <w:rsid w:val="23B11C56"/>
    <w:rsid w:val="23C245F9"/>
    <w:rsid w:val="24077A99"/>
    <w:rsid w:val="242D5F16"/>
    <w:rsid w:val="245060A9"/>
    <w:rsid w:val="246C73EB"/>
    <w:rsid w:val="248A06DA"/>
    <w:rsid w:val="24C04FDC"/>
    <w:rsid w:val="25162E4E"/>
    <w:rsid w:val="25493224"/>
    <w:rsid w:val="255B5A58"/>
    <w:rsid w:val="25CC7C42"/>
    <w:rsid w:val="2626701A"/>
    <w:rsid w:val="265754CC"/>
    <w:rsid w:val="265D0C80"/>
    <w:rsid w:val="26727185"/>
    <w:rsid w:val="26982560"/>
    <w:rsid w:val="26A41E2D"/>
    <w:rsid w:val="26AC3A6A"/>
    <w:rsid w:val="26AF70B6"/>
    <w:rsid w:val="26CA2142"/>
    <w:rsid w:val="26EE1B65"/>
    <w:rsid w:val="26FC6074"/>
    <w:rsid w:val="270E64D3"/>
    <w:rsid w:val="271635D9"/>
    <w:rsid w:val="274F46CB"/>
    <w:rsid w:val="275068CA"/>
    <w:rsid w:val="275070B5"/>
    <w:rsid w:val="27790E2C"/>
    <w:rsid w:val="2791219C"/>
    <w:rsid w:val="27BC50F8"/>
    <w:rsid w:val="27D226CF"/>
    <w:rsid w:val="2802590C"/>
    <w:rsid w:val="2822297C"/>
    <w:rsid w:val="285063E9"/>
    <w:rsid w:val="28763103"/>
    <w:rsid w:val="28906FD2"/>
    <w:rsid w:val="28920A3E"/>
    <w:rsid w:val="28B04503"/>
    <w:rsid w:val="28C11323"/>
    <w:rsid w:val="28E374EB"/>
    <w:rsid w:val="290336EA"/>
    <w:rsid w:val="298F31CF"/>
    <w:rsid w:val="299B5A21"/>
    <w:rsid w:val="29B82726"/>
    <w:rsid w:val="29C27101"/>
    <w:rsid w:val="29D67050"/>
    <w:rsid w:val="29F960C4"/>
    <w:rsid w:val="2A4E6BE6"/>
    <w:rsid w:val="2A957722"/>
    <w:rsid w:val="2A9D4B84"/>
    <w:rsid w:val="2AA34D9A"/>
    <w:rsid w:val="2AB949A8"/>
    <w:rsid w:val="2AF0321F"/>
    <w:rsid w:val="2AF07C9E"/>
    <w:rsid w:val="2AF711EA"/>
    <w:rsid w:val="2B105B42"/>
    <w:rsid w:val="2B2D5765"/>
    <w:rsid w:val="2B3F35F1"/>
    <w:rsid w:val="2B7E52A9"/>
    <w:rsid w:val="2B9A4D4C"/>
    <w:rsid w:val="2BAE7C93"/>
    <w:rsid w:val="2BB1742D"/>
    <w:rsid w:val="2BCC24B9"/>
    <w:rsid w:val="2BDA2D10"/>
    <w:rsid w:val="2BF65788"/>
    <w:rsid w:val="2BF714DA"/>
    <w:rsid w:val="2C047EA4"/>
    <w:rsid w:val="2C5D75B5"/>
    <w:rsid w:val="2CA945A8"/>
    <w:rsid w:val="2CAC3FD1"/>
    <w:rsid w:val="2CB43679"/>
    <w:rsid w:val="2CC118F2"/>
    <w:rsid w:val="2CE83322"/>
    <w:rsid w:val="2D2F71A3"/>
    <w:rsid w:val="2D412A32"/>
    <w:rsid w:val="2D4349FC"/>
    <w:rsid w:val="2D46629B"/>
    <w:rsid w:val="2D480265"/>
    <w:rsid w:val="2D6706EB"/>
    <w:rsid w:val="2D7746A6"/>
    <w:rsid w:val="2DF11BC1"/>
    <w:rsid w:val="2E23315A"/>
    <w:rsid w:val="2E790694"/>
    <w:rsid w:val="2EA8260F"/>
    <w:rsid w:val="2EBD258D"/>
    <w:rsid w:val="2F0D52C2"/>
    <w:rsid w:val="2F137C10"/>
    <w:rsid w:val="2F285C58"/>
    <w:rsid w:val="2F41392E"/>
    <w:rsid w:val="2F5838AD"/>
    <w:rsid w:val="2F725125"/>
    <w:rsid w:val="2F7924A1"/>
    <w:rsid w:val="2F8337D6"/>
    <w:rsid w:val="2FA84FEB"/>
    <w:rsid w:val="2FB83480"/>
    <w:rsid w:val="2FFE4C0B"/>
    <w:rsid w:val="30000983"/>
    <w:rsid w:val="301B5F18"/>
    <w:rsid w:val="30847806"/>
    <w:rsid w:val="30C3032E"/>
    <w:rsid w:val="30CC4D09"/>
    <w:rsid w:val="30F61AE5"/>
    <w:rsid w:val="31B1462B"/>
    <w:rsid w:val="31BC2B29"/>
    <w:rsid w:val="31C36410"/>
    <w:rsid w:val="31CF687B"/>
    <w:rsid w:val="32582CF8"/>
    <w:rsid w:val="32AC4DF2"/>
    <w:rsid w:val="32DF6F75"/>
    <w:rsid w:val="32E427DE"/>
    <w:rsid w:val="32EC3D28"/>
    <w:rsid w:val="32F32A21"/>
    <w:rsid w:val="333A6BDB"/>
    <w:rsid w:val="336F1825"/>
    <w:rsid w:val="33B470C2"/>
    <w:rsid w:val="33B514D5"/>
    <w:rsid w:val="33B95A18"/>
    <w:rsid w:val="33C323F3"/>
    <w:rsid w:val="33EA7980"/>
    <w:rsid w:val="34076784"/>
    <w:rsid w:val="341C1B03"/>
    <w:rsid w:val="346468BD"/>
    <w:rsid w:val="34824EE6"/>
    <w:rsid w:val="348C4EDB"/>
    <w:rsid w:val="34983F3A"/>
    <w:rsid w:val="3498562E"/>
    <w:rsid w:val="34D01D12"/>
    <w:rsid w:val="34DD1293"/>
    <w:rsid w:val="34FD36E3"/>
    <w:rsid w:val="351F5467"/>
    <w:rsid w:val="35325A82"/>
    <w:rsid w:val="358F6978"/>
    <w:rsid w:val="35C97A69"/>
    <w:rsid w:val="35ED7BFB"/>
    <w:rsid w:val="361E5DAE"/>
    <w:rsid w:val="36237179"/>
    <w:rsid w:val="36285BF5"/>
    <w:rsid w:val="36470B35"/>
    <w:rsid w:val="364B118D"/>
    <w:rsid w:val="364C2B74"/>
    <w:rsid w:val="365D6B2F"/>
    <w:rsid w:val="36626903"/>
    <w:rsid w:val="36653C36"/>
    <w:rsid w:val="36723C5D"/>
    <w:rsid w:val="367E62E2"/>
    <w:rsid w:val="36853990"/>
    <w:rsid w:val="36A71B58"/>
    <w:rsid w:val="36D861B6"/>
    <w:rsid w:val="370C1614"/>
    <w:rsid w:val="3797445D"/>
    <w:rsid w:val="37D270A9"/>
    <w:rsid w:val="37DA5F5D"/>
    <w:rsid w:val="37E33064"/>
    <w:rsid w:val="37E666B0"/>
    <w:rsid w:val="37F92341"/>
    <w:rsid w:val="38042549"/>
    <w:rsid w:val="384855BD"/>
    <w:rsid w:val="384C6E5B"/>
    <w:rsid w:val="385C6972"/>
    <w:rsid w:val="38926838"/>
    <w:rsid w:val="38934A8A"/>
    <w:rsid w:val="38B13162"/>
    <w:rsid w:val="38FA68B7"/>
    <w:rsid w:val="39074CB7"/>
    <w:rsid w:val="392534B4"/>
    <w:rsid w:val="392B45C2"/>
    <w:rsid w:val="39586050"/>
    <w:rsid w:val="3971469F"/>
    <w:rsid w:val="39787A2A"/>
    <w:rsid w:val="398C14D9"/>
    <w:rsid w:val="398E34A3"/>
    <w:rsid w:val="3995213C"/>
    <w:rsid w:val="39A131D7"/>
    <w:rsid w:val="39AE1450"/>
    <w:rsid w:val="39B649AE"/>
    <w:rsid w:val="39BC3406"/>
    <w:rsid w:val="39C72511"/>
    <w:rsid w:val="3A127C30"/>
    <w:rsid w:val="3A267238"/>
    <w:rsid w:val="3A4D0C68"/>
    <w:rsid w:val="3A961AFC"/>
    <w:rsid w:val="3AA20FB4"/>
    <w:rsid w:val="3AB24F6F"/>
    <w:rsid w:val="3AE96BE3"/>
    <w:rsid w:val="3AEE6870"/>
    <w:rsid w:val="3B0D21A6"/>
    <w:rsid w:val="3B1B6E04"/>
    <w:rsid w:val="3B4007CD"/>
    <w:rsid w:val="3B732951"/>
    <w:rsid w:val="3B7364AD"/>
    <w:rsid w:val="3B9A612F"/>
    <w:rsid w:val="3BB44039"/>
    <w:rsid w:val="3BB836C9"/>
    <w:rsid w:val="3C017F5D"/>
    <w:rsid w:val="3C047A4D"/>
    <w:rsid w:val="3C073099"/>
    <w:rsid w:val="3C215F09"/>
    <w:rsid w:val="3C8B3CCA"/>
    <w:rsid w:val="3C925059"/>
    <w:rsid w:val="3D1617E6"/>
    <w:rsid w:val="3D29776B"/>
    <w:rsid w:val="3D30215D"/>
    <w:rsid w:val="3D36038C"/>
    <w:rsid w:val="3D3E0D3C"/>
    <w:rsid w:val="3D424389"/>
    <w:rsid w:val="3D4520CB"/>
    <w:rsid w:val="3D793B23"/>
    <w:rsid w:val="3D891FB8"/>
    <w:rsid w:val="3DA74B34"/>
    <w:rsid w:val="3DB46334"/>
    <w:rsid w:val="3DB80AEF"/>
    <w:rsid w:val="3DD31485"/>
    <w:rsid w:val="3DF064DB"/>
    <w:rsid w:val="3EAD43CC"/>
    <w:rsid w:val="3EE53B65"/>
    <w:rsid w:val="3F086863"/>
    <w:rsid w:val="3F1735F3"/>
    <w:rsid w:val="3F185CE9"/>
    <w:rsid w:val="3F1F403E"/>
    <w:rsid w:val="3F3E7503"/>
    <w:rsid w:val="3F465470"/>
    <w:rsid w:val="3F695128"/>
    <w:rsid w:val="3F6F78D3"/>
    <w:rsid w:val="3F8939FE"/>
    <w:rsid w:val="3F93711E"/>
    <w:rsid w:val="3F963DEC"/>
    <w:rsid w:val="3F9B06C8"/>
    <w:rsid w:val="3FE61943"/>
    <w:rsid w:val="40041DC9"/>
    <w:rsid w:val="40167D4F"/>
    <w:rsid w:val="407C22A8"/>
    <w:rsid w:val="408E3D89"/>
    <w:rsid w:val="40A35A86"/>
    <w:rsid w:val="40BE2E2C"/>
    <w:rsid w:val="40F3592C"/>
    <w:rsid w:val="4158661E"/>
    <w:rsid w:val="417D62D7"/>
    <w:rsid w:val="418A0708"/>
    <w:rsid w:val="41CE08E1"/>
    <w:rsid w:val="42107612"/>
    <w:rsid w:val="428C60A6"/>
    <w:rsid w:val="42AA7A3E"/>
    <w:rsid w:val="42AB6E74"/>
    <w:rsid w:val="42B850ED"/>
    <w:rsid w:val="42E63A08"/>
    <w:rsid w:val="42FD1EF7"/>
    <w:rsid w:val="43091739"/>
    <w:rsid w:val="43261317"/>
    <w:rsid w:val="432D7889"/>
    <w:rsid w:val="43362BE2"/>
    <w:rsid w:val="433A3AE4"/>
    <w:rsid w:val="4352109E"/>
    <w:rsid w:val="4373683C"/>
    <w:rsid w:val="43C95804"/>
    <w:rsid w:val="44011FAB"/>
    <w:rsid w:val="4420119C"/>
    <w:rsid w:val="443D58AA"/>
    <w:rsid w:val="444F02BA"/>
    <w:rsid w:val="44642FB5"/>
    <w:rsid w:val="448654A3"/>
    <w:rsid w:val="448B0D0B"/>
    <w:rsid w:val="449F0313"/>
    <w:rsid w:val="44DF70AD"/>
    <w:rsid w:val="45192324"/>
    <w:rsid w:val="452A0524"/>
    <w:rsid w:val="4557299B"/>
    <w:rsid w:val="456652D4"/>
    <w:rsid w:val="456917B0"/>
    <w:rsid w:val="45AD2F03"/>
    <w:rsid w:val="45B77595"/>
    <w:rsid w:val="45B84DAD"/>
    <w:rsid w:val="45CA5708"/>
    <w:rsid w:val="45CA5863"/>
    <w:rsid w:val="45D43FEC"/>
    <w:rsid w:val="45E11E49"/>
    <w:rsid w:val="45ED1125"/>
    <w:rsid w:val="45F60406"/>
    <w:rsid w:val="46054AED"/>
    <w:rsid w:val="463B22BD"/>
    <w:rsid w:val="46401681"/>
    <w:rsid w:val="46405B25"/>
    <w:rsid w:val="46562339"/>
    <w:rsid w:val="46701873"/>
    <w:rsid w:val="468A6DA0"/>
    <w:rsid w:val="46A41C10"/>
    <w:rsid w:val="46FA1B4E"/>
    <w:rsid w:val="47215957"/>
    <w:rsid w:val="472E39BC"/>
    <w:rsid w:val="475573AE"/>
    <w:rsid w:val="47677770"/>
    <w:rsid w:val="476E221E"/>
    <w:rsid w:val="477C493B"/>
    <w:rsid w:val="47AA76FA"/>
    <w:rsid w:val="47CA38F8"/>
    <w:rsid w:val="4843385D"/>
    <w:rsid w:val="485756B9"/>
    <w:rsid w:val="48773972"/>
    <w:rsid w:val="48802209"/>
    <w:rsid w:val="48A24A28"/>
    <w:rsid w:val="48AC1250"/>
    <w:rsid w:val="496164DE"/>
    <w:rsid w:val="496D22BF"/>
    <w:rsid w:val="499E503D"/>
    <w:rsid w:val="49A53E35"/>
    <w:rsid w:val="49AA39E1"/>
    <w:rsid w:val="49AD34D2"/>
    <w:rsid w:val="49D04EAB"/>
    <w:rsid w:val="49DF6EAB"/>
    <w:rsid w:val="49E05655"/>
    <w:rsid w:val="4A002960"/>
    <w:rsid w:val="4A0812A6"/>
    <w:rsid w:val="4A286FFC"/>
    <w:rsid w:val="4A325785"/>
    <w:rsid w:val="4A38723F"/>
    <w:rsid w:val="4A431740"/>
    <w:rsid w:val="4A851D59"/>
    <w:rsid w:val="4A875AD1"/>
    <w:rsid w:val="4AB32A95"/>
    <w:rsid w:val="4AC73E3C"/>
    <w:rsid w:val="4AF03B50"/>
    <w:rsid w:val="4B187071"/>
    <w:rsid w:val="4B217CD3"/>
    <w:rsid w:val="4B296B88"/>
    <w:rsid w:val="4B315A3D"/>
    <w:rsid w:val="4B79502C"/>
    <w:rsid w:val="4BDE5BC4"/>
    <w:rsid w:val="4BE62CCB"/>
    <w:rsid w:val="4BEF1B80"/>
    <w:rsid w:val="4C014589"/>
    <w:rsid w:val="4C1E06B7"/>
    <w:rsid w:val="4C251A45"/>
    <w:rsid w:val="4C651E42"/>
    <w:rsid w:val="4C8F5111"/>
    <w:rsid w:val="4CA010CC"/>
    <w:rsid w:val="4CAA1F4A"/>
    <w:rsid w:val="4CBF0DBD"/>
    <w:rsid w:val="4CC27294"/>
    <w:rsid w:val="4CC748AA"/>
    <w:rsid w:val="4CCA0D79"/>
    <w:rsid w:val="4CDB4896"/>
    <w:rsid w:val="4CF65190"/>
    <w:rsid w:val="4D021D86"/>
    <w:rsid w:val="4D0E2731"/>
    <w:rsid w:val="4D2252AB"/>
    <w:rsid w:val="4D3D4B6D"/>
    <w:rsid w:val="4D471D29"/>
    <w:rsid w:val="4D662315"/>
    <w:rsid w:val="4D7B7443"/>
    <w:rsid w:val="4DAD54A5"/>
    <w:rsid w:val="4DC03108"/>
    <w:rsid w:val="4DDA21D6"/>
    <w:rsid w:val="4DEA6AA2"/>
    <w:rsid w:val="4E461F03"/>
    <w:rsid w:val="4F0A0A7E"/>
    <w:rsid w:val="4F10078B"/>
    <w:rsid w:val="4F1638C7"/>
    <w:rsid w:val="4F195165"/>
    <w:rsid w:val="4F205BA6"/>
    <w:rsid w:val="4F4B5F47"/>
    <w:rsid w:val="4F8847C5"/>
    <w:rsid w:val="4F895E47"/>
    <w:rsid w:val="4F9547EC"/>
    <w:rsid w:val="4FB053F7"/>
    <w:rsid w:val="4FC82E13"/>
    <w:rsid w:val="4FD73DD8"/>
    <w:rsid w:val="4FEB01C7"/>
    <w:rsid w:val="4FEC137C"/>
    <w:rsid w:val="4FF5172F"/>
    <w:rsid w:val="50065A15"/>
    <w:rsid w:val="501222E0"/>
    <w:rsid w:val="50290F96"/>
    <w:rsid w:val="502A587C"/>
    <w:rsid w:val="50593A6B"/>
    <w:rsid w:val="508D1967"/>
    <w:rsid w:val="50F6575E"/>
    <w:rsid w:val="50F73284"/>
    <w:rsid w:val="510A5B45"/>
    <w:rsid w:val="511A45CC"/>
    <w:rsid w:val="513242BC"/>
    <w:rsid w:val="5133250E"/>
    <w:rsid w:val="514566E6"/>
    <w:rsid w:val="5159089C"/>
    <w:rsid w:val="515D57DD"/>
    <w:rsid w:val="51624BA2"/>
    <w:rsid w:val="51736DAF"/>
    <w:rsid w:val="518C60C3"/>
    <w:rsid w:val="51BA2C30"/>
    <w:rsid w:val="51BA49DE"/>
    <w:rsid w:val="51D11D27"/>
    <w:rsid w:val="52045C59"/>
    <w:rsid w:val="521F0CE5"/>
    <w:rsid w:val="52485D4E"/>
    <w:rsid w:val="524E5126"/>
    <w:rsid w:val="52612496"/>
    <w:rsid w:val="527A5F1B"/>
    <w:rsid w:val="5285323E"/>
    <w:rsid w:val="52BC29D7"/>
    <w:rsid w:val="52C06024"/>
    <w:rsid w:val="52C61160"/>
    <w:rsid w:val="52E55A8A"/>
    <w:rsid w:val="52EA30A1"/>
    <w:rsid w:val="537C375A"/>
    <w:rsid w:val="53B37216"/>
    <w:rsid w:val="53E45D42"/>
    <w:rsid w:val="540B47E8"/>
    <w:rsid w:val="545C7FCE"/>
    <w:rsid w:val="547075D6"/>
    <w:rsid w:val="54AA0D3A"/>
    <w:rsid w:val="54AE307D"/>
    <w:rsid w:val="54D933CD"/>
    <w:rsid w:val="54EC5A2D"/>
    <w:rsid w:val="54FC70BB"/>
    <w:rsid w:val="55106FCD"/>
    <w:rsid w:val="55177D66"/>
    <w:rsid w:val="55222FC6"/>
    <w:rsid w:val="55264138"/>
    <w:rsid w:val="552A6E5F"/>
    <w:rsid w:val="55344AA7"/>
    <w:rsid w:val="555E38D2"/>
    <w:rsid w:val="55966AA9"/>
    <w:rsid w:val="55A25EB5"/>
    <w:rsid w:val="55B300C2"/>
    <w:rsid w:val="55B94FAC"/>
    <w:rsid w:val="55CF5268"/>
    <w:rsid w:val="55D15936"/>
    <w:rsid w:val="55DA52DF"/>
    <w:rsid w:val="56241244"/>
    <w:rsid w:val="56334D5F"/>
    <w:rsid w:val="56B92464"/>
    <w:rsid w:val="56F24C1A"/>
    <w:rsid w:val="56F52014"/>
    <w:rsid w:val="57160908"/>
    <w:rsid w:val="57241A12"/>
    <w:rsid w:val="57776ECD"/>
    <w:rsid w:val="57792C45"/>
    <w:rsid w:val="578A30A4"/>
    <w:rsid w:val="57A9177C"/>
    <w:rsid w:val="583F3E8F"/>
    <w:rsid w:val="584C64D4"/>
    <w:rsid w:val="5856692C"/>
    <w:rsid w:val="5898534D"/>
    <w:rsid w:val="58B32187"/>
    <w:rsid w:val="58B959EF"/>
    <w:rsid w:val="58D02D39"/>
    <w:rsid w:val="58DC4511"/>
    <w:rsid w:val="58F325BC"/>
    <w:rsid w:val="58F9403E"/>
    <w:rsid w:val="590777C4"/>
    <w:rsid w:val="592F6855"/>
    <w:rsid w:val="59301A29"/>
    <w:rsid w:val="593F3A1A"/>
    <w:rsid w:val="5976568E"/>
    <w:rsid w:val="597A2425"/>
    <w:rsid w:val="598D0C2A"/>
    <w:rsid w:val="59B47F65"/>
    <w:rsid w:val="59B77A55"/>
    <w:rsid w:val="59C503C4"/>
    <w:rsid w:val="5A15661A"/>
    <w:rsid w:val="5AAC3332"/>
    <w:rsid w:val="5ADC2F36"/>
    <w:rsid w:val="5AE900E2"/>
    <w:rsid w:val="5AEC75EB"/>
    <w:rsid w:val="5B24111A"/>
    <w:rsid w:val="5B2C3381"/>
    <w:rsid w:val="5B44356A"/>
    <w:rsid w:val="5B73752C"/>
    <w:rsid w:val="5B865931"/>
    <w:rsid w:val="5B977B3E"/>
    <w:rsid w:val="5BE82147"/>
    <w:rsid w:val="5BEC7E8A"/>
    <w:rsid w:val="5BFA79D4"/>
    <w:rsid w:val="5C041FF7"/>
    <w:rsid w:val="5C185423"/>
    <w:rsid w:val="5C241CA0"/>
    <w:rsid w:val="5C6520CD"/>
    <w:rsid w:val="5C7906B8"/>
    <w:rsid w:val="5C7B4114"/>
    <w:rsid w:val="5C910A31"/>
    <w:rsid w:val="5CBD5382"/>
    <w:rsid w:val="5CE768A3"/>
    <w:rsid w:val="5CEE0785"/>
    <w:rsid w:val="5D0D559B"/>
    <w:rsid w:val="5D4635C9"/>
    <w:rsid w:val="5D4B3F6A"/>
    <w:rsid w:val="5D5932FD"/>
    <w:rsid w:val="5D706898"/>
    <w:rsid w:val="5DF64737"/>
    <w:rsid w:val="5E257683"/>
    <w:rsid w:val="5E541D16"/>
    <w:rsid w:val="5E9860A7"/>
    <w:rsid w:val="5EA70098"/>
    <w:rsid w:val="5ECF6BD5"/>
    <w:rsid w:val="5EEE3F19"/>
    <w:rsid w:val="5EF77271"/>
    <w:rsid w:val="5F3833E6"/>
    <w:rsid w:val="5F4E6765"/>
    <w:rsid w:val="5F8623A3"/>
    <w:rsid w:val="5F8E1258"/>
    <w:rsid w:val="5F951DC5"/>
    <w:rsid w:val="5FB07420"/>
    <w:rsid w:val="5FF84F72"/>
    <w:rsid w:val="6037544B"/>
    <w:rsid w:val="603C0CB4"/>
    <w:rsid w:val="603E2C7E"/>
    <w:rsid w:val="604C4F0B"/>
    <w:rsid w:val="607641C6"/>
    <w:rsid w:val="60787F3E"/>
    <w:rsid w:val="60A463A0"/>
    <w:rsid w:val="610C1869"/>
    <w:rsid w:val="610E40E0"/>
    <w:rsid w:val="611E72F1"/>
    <w:rsid w:val="615564D1"/>
    <w:rsid w:val="61783F6D"/>
    <w:rsid w:val="61817460"/>
    <w:rsid w:val="6186668A"/>
    <w:rsid w:val="61882403"/>
    <w:rsid w:val="61A304D2"/>
    <w:rsid w:val="61BA0EF9"/>
    <w:rsid w:val="61BD1113"/>
    <w:rsid w:val="61BD7FAE"/>
    <w:rsid w:val="61C316DA"/>
    <w:rsid w:val="61D218D0"/>
    <w:rsid w:val="61D75138"/>
    <w:rsid w:val="623B7475"/>
    <w:rsid w:val="623E788B"/>
    <w:rsid w:val="624D0F56"/>
    <w:rsid w:val="62682234"/>
    <w:rsid w:val="626B0982"/>
    <w:rsid w:val="626F5454"/>
    <w:rsid w:val="62740BD9"/>
    <w:rsid w:val="62764951"/>
    <w:rsid w:val="62797F9D"/>
    <w:rsid w:val="628F0475"/>
    <w:rsid w:val="62D17DD9"/>
    <w:rsid w:val="630F26B0"/>
    <w:rsid w:val="631B23B9"/>
    <w:rsid w:val="632B0E34"/>
    <w:rsid w:val="632F3030"/>
    <w:rsid w:val="633F5BB1"/>
    <w:rsid w:val="634766B8"/>
    <w:rsid w:val="63690012"/>
    <w:rsid w:val="637D1D0F"/>
    <w:rsid w:val="63AD43A2"/>
    <w:rsid w:val="63BE035D"/>
    <w:rsid w:val="63D7141F"/>
    <w:rsid w:val="63EB4ECB"/>
    <w:rsid w:val="63FB3908"/>
    <w:rsid w:val="64095351"/>
    <w:rsid w:val="640B10C9"/>
    <w:rsid w:val="641A5DB6"/>
    <w:rsid w:val="64923598"/>
    <w:rsid w:val="64C90978"/>
    <w:rsid w:val="64D140C0"/>
    <w:rsid w:val="64F8252C"/>
    <w:rsid w:val="652A37D1"/>
    <w:rsid w:val="65402FF4"/>
    <w:rsid w:val="65426D6C"/>
    <w:rsid w:val="6546685C"/>
    <w:rsid w:val="654F6221"/>
    <w:rsid w:val="656A1E1F"/>
    <w:rsid w:val="656B0071"/>
    <w:rsid w:val="657A6506"/>
    <w:rsid w:val="658C6239"/>
    <w:rsid w:val="65C23A09"/>
    <w:rsid w:val="65CD326E"/>
    <w:rsid w:val="65DE47CF"/>
    <w:rsid w:val="65F56B8B"/>
    <w:rsid w:val="660F66C6"/>
    <w:rsid w:val="66157FDD"/>
    <w:rsid w:val="661E50E3"/>
    <w:rsid w:val="662B7800"/>
    <w:rsid w:val="66372649"/>
    <w:rsid w:val="66415276"/>
    <w:rsid w:val="665054B9"/>
    <w:rsid w:val="666176C6"/>
    <w:rsid w:val="66632270"/>
    <w:rsid w:val="66670A93"/>
    <w:rsid w:val="66763171"/>
    <w:rsid w:val="668F4233"/>
    <w:rsid w:val="66D71736"/>
    <w:rsid w:val="66DA46D0"/>
    <w:rsid w:val="66E300DB"/>
    <w:rsid w:val="67000C8D"/>
    <w:rsid w:val="67006EDF"/>
    <w:rsid w:val="67184D64"/>
    <w:rsid w:val="674E7C4A"/>
    <w:rsid w:val="678A327B"/>
    <w:rsid w:val="67931B01"/>
    <w:rsid w:val="68A452E5"/>
    <w:rsid w:val="68AB2E7A"/>
    <w:rsid w:val="68BD1EDB"/>
    <w:rsid w:val="68F14DAE"/>
    <w:rsid w:val="68F73B28"/>
    <w:rsid w:val="68FC5484"/>
    <w:rsid w:val="69076303"/>
    <w:rsid w:val="69290363"/>
    <w:rsid w:val="69540E1C"/>
    <w:rsid w:val="6991773D"/>
    <w:rsid w:val="699F29DF"/>
    <w:rsid w:val="69B804DD"/>
    <w:rsid w:val="69F60125"/>
    <w:rsid w:val="69F97B76"/>
    <w:rsid w:val="6A0E1913"/>
    <w:rsid w:val="6A116D0D"/>
    <w:rsid w:val="6A203C70"/>
    <w:rsid w:val="6A2922A9"/>
    <w:rsid w:val="6A333127"/>
    <w:rsid w:val="6A696B49"/>
    <w:rsid w:val="6A6B0B13"/>
    <w:rsid w:val="6A843983"/>
    <w:rsid w:val="6AB24F1B"/>
    <w:rsid w:val="6AD246EE"/>
    <w:rsid w:val="6B0A032C"/>
    <w:rsid w:val="6B23319C"/>
    <w:rsid w:val="6B7D2142"/>
    <w:rsid w:val="6B9C2BD1"/>
    <w:rsid w:val="6BAA7419"/>
    <w:rsid w:val="6BAE515B"/>
    <w:rsid w:val="6BAF67DE"/>
    <w:rsid w:val="6BC71D79"/>
    <w:rsid w:val="6C172D01"/>
    <w:rsid w:val="6C294735"/>
    <w:rsid w:val="6C2F6DA3"/>
    <w:rsid w:val="6C81017A"/>
    <w:rsid w:val="6C893CFC"/>
    <w:rsid w:val="6C9360FF"/>
    <w:rsid w:val="6CE30E35"/>
    <w:rsid w:val="6CE4695B"/>
    <w:rsid w:val="6CE773ED"/>
    <w:rsid w:val="6D212190"/>
    <w:rsid w:val="6D2B0234"/>
    <w:rsid w:val="6D372F2F"/>
    <w:rsid w:val="6D617FF6"/>
    <w:rsid w:val="6D6E0893"/>
    <w:rsid w:val="6D6F26C8"/>
    <w:rsid w:val="6D9709FA"/>
    <w:rsid w:val="6DCF3167"/>
    <w:rsid w:val="6DF9479C"/>
    <w:rsid w:val="6E1B1716"/>
    <w:rsid w:val="6E22773B"/>
    <w:rsid w:val="6E2711F5"/>
    <w:rsid w:val="6E3A2CD6"/>
    <w:rsid w:val="6E6C6C08"/>
    <w:rsid w:val="6E804461"/>
    <w:rsid w:val="6F0D2199"/>
    <w:rsid w:val="6F2319BD"/>
    <w:rsid w:val="6F490CF7"/>
    <w:rsid w:val="6F667AFB"/>
    <w:rsid w:val="6F9B1553"/>
    <w:rsid w:val="702526C1"/>
    <w:rsid w:val="703F47CD"/>
    <w:rsid w:val="705636CC"/>
    <w:rsid w:val="70791048"/>
    <w:rsid w:val="709D754D"/>
    <w:rsid w:val="70C96594"/>
    <w:rsid w:val="70CA3F61"/>
    <w:rsid w:val="70DA1D6D"/>
    <w:rsid w:val="70DA3C5B"/>
    <w:rsid w:val="70EB6E85"/>
    <w:rsid w:val="70EE1B56"/>
    <w:rsid w:val="71063344"/>
    <w:rsid w:val="71357785"/>
    <w:rsid w:val="715B3690"/>
    <w:rsid w:val="71632544"/>
    <w:rsid w:val="71C22A1B"/>
    <w:rsid w:val="71DC7F14"/>
    <w:rsid w:val="71ED1FFD"/>
    <w:rsid w:val="720F447A"/>
    <w:rsid w:val="72206CBB"/>
    <w:rsid w:val="723E08BB"/>
    <w:rsid w:val="724203AC"/>
    <w:rsid w:val="724F2AC9"/>
    <w:rsid w:val="72621065"/>
    <w:rsid w:val="72930C07"/>
    <w:rsid w:val="72A44BC2"/>
    <w:rsid w:val="72C2773E"/>
    <w:rsid w:val="732A002F"/>
    <w:rsid w:val="732B7092"/>
    <w:rsid w:val="735E0012"/>
    <w:rsid w:val="73770529"/>
    <w:rsid w:val="738844E4"/>
    <w:rsid w:val="738B5D82"/>
    <w:rsid w:val="73A8656E"/>
    <w:rsid w:val="73DD4830"/>
    <w:rsid w:val="73FA5DFE"/>
    <w:rsid w:val="7408640A"/>
    <w:rsid w:val="74181470"/>
    <w:rsid w:val="742D0BE7"/>
    <w:rsid w:val="74625AA0"/>
    <w:rsid w:val="74634007"/>
    <w:rsid w:val="74846D19"/>
    <w:rsid w:val="74BE0A23"/>
    <w:rsid w:val="74D215F5"/>
    <w:rsid w:val="757F1917"/>
    <w:rsid w:val="75A1363B"/>
    <w:rsid w:val="75BE3FFD"/>
    <w:rsid w:val="75D74C81"/>
    <w:rsid w:val="7614205F"/>
    <w:rsid w:val="762D4ECF"/>
    <w:rsid w:val="76315255"/>
    <w:rsid w:val="76484C52"/>
    <w:rsid w:val="764B0538"/>
    <w:rsid w:val="768947FB"/>
    <w:rsid w:val="768F7938"/>
    <w:rsid w:val="769778EA"/>
    <w:rsid w:val="76EA4F5D"/>
    <w:rsid w:val="774626EC"/>
    <w:rsid w:val="776963DA"/>
    <w:rsid w:val="77866F8C"/>
    <w:rsid w:val="77932E6E"/>
    <w:rsid w:val="77C16217"/>
    <w:rsid w:val="77CE623E"/>
    <w:rsid w:val="781641CB"/>
    <w:rsid w:val="78282311"/>
    <w:rsid w:val="785706F8"/>
    <w:rsid w:val="786C7F30"/>
    <w:rsid w:val="787E7C64"/>
    <w:rsid w:val="78872FBC"/>
    <w:rsid w:val="788A6608"/>
    <w:rsid w:val="78961451"/>
    <w:rsid w:val="78C7613E"/>
    <w:rsid w:val="78CE2999"/>
    <w:rsid w:val="79101392"/>
    <w:rsid w:val="7919533D"/>
    <w:rsid w:val="79A14858"/>
    <w:rsid w:val="79B24069"/>
    <w:rsid w:val="79D173CF"/>
    <w:rsid w:val="79D264B9"/>
    <w:rsid w:val="79E166FC"/>
    <w:rsid w:val="79E65AC0"/>
    <w:rsid w:val="79EC7716"/>
    <w:rsid w:val="79F20909"/>
    <w:rsid w:val="7A0B5527"/>
    <w:rsid w:val="7A2F56B9"/>
    <w:rsid w:val="7A394B21"/>
    <w:rsid w:val="7A786784"/>
    <w:rsid w:val="7A8E7F0B"/>
    <w:rsid w:val="7A903C7E"/>
    <w:rsid w:val="7AA608F2"/>
    <w:rsid w:val="7ABE07EB"/>
    <w:rsid w:val="7B114DBF"/>
    <w:rsid w:val="7B2368A0"/>
    <w:rsid w:val="7B242D44"/>
    <w:rsid w:val="7B3E48AE"/>
    <w:rsid w:val="7B4A207F"/>
    <w:rsid w:val="7B587A97"/>
    <w:rsid w:val="7B951326"/>
    <w:rsid w:val="7BAC4AE8"/>
    <w:rsid w:val="7BB14AB9"/>
    <w:rsid w:val="7BBD6A93"/>
    <w:rsid w:val="7BC9569A"/>
    <w:rsid w:val="7C042B76"/>
    <w:rsid w:val="7C1903CF"/>
    <w:rsid w:val="7C1A5EF5"/>
    <w:rsid w:val="7C2E028A"/>
    <w:rsid w:val="7C5710D8"/>
    <w:rsid w:val="7C7224A7"/>
    <w:rsid w:val="7C794503"/>
    <w:rsid w:val="7C833A9B"/>
    <w:rsid w:val="7C9E08D4"/>
    <w:rsid w:val="7C9E2682"/>
    <w:rsid w:val="7CA13F21"/>
    <w:rsid w:val="7CCA16C9"/>
    <w:rsid w:val="7D2F3C22"/>
    <w:rsid w:val="7D472D1A"/>
    <w:rsid w:val="7D6513F2"/>
    <w:rsid w:val="7DE74669"/>
    <w:rsid w:val="7DF74740"/>
    <w:rsid w:val="7E1075B0"/>
    <w:rsid w:val="7E1370A0"/>
    <w:rsid w:val="7E266DD3"/>
    <w:rsid w:val="7E394D59"/>
    <w:rsid w:val="7E4A299F"/>
    <w:rsid w:val="7E4F012F"/>
    <w:rsid w:val="7E521976"/>
    <w:rsid w:val="7E53749D"/>
    <w:rsid w:val="7E5673E4"/>
    <w:rsid w:val="7ED14F91"/>
    <w:rsid w:val="7F4952B0"/>
    <w:rsid w:val="7F603797"/>
    <w:rsid w:val="7F9A1827"/>
    <w:rsid w:val="7F9D1317"/>
    <w:rsid w:val="7FCD67B2"/>
    <w:rsid w:val="7FD04E7B"/>
    <w:rsid w:val="7FE857B1"/>
    <w:rsid w:val="7FF30F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2"/>
    <w:qFormat/>
    <w:uiPriority w:val="99"/>
    <w:pPr>
      <w:keepNext/>
      <w:ind w:firstLine="6720" w:firstLineChars="800"/>
      <w:outlineLvl w:val="0"/>
    </w:pPr>
    <w:rPr>
      <w:kern w:val="0"/>
      <w:sz w:val="20"/>
      <w:szCs w:val="20"/>
    </w:rPr>
  </w:style>
  <w:style w:type="paragraph" w:styleId="3">
    <w:name w:val="heading 2"/>
    <w:basedOn w:val="1"/>
    <w:next w:val="1"/>
    <w:link w:val="23"/>
    <w:qFormat/>
    <w:uiPriority w:val="99"/>
    <w:pPr>
      <w:keepNext/>
      <w:jc w:val="center"/>
      <w:outlineLvl w:val="1"/>
    </w:pPr>
    <w:rPr>
      <w:kern w:val="0"/>
      <w:sz w:val="20"/>
      <w:szCs w:val="20"/>
    </w:rPr>
  </w:style>
  <w:style w:type="paragraph" w:styleId="4">
    <w:name w:val="heading 3"/>
    <w:basedOn w:val="1"/>
    <w:next w:val="1"/>
    <w:link w:val="24"/>
    <w:qFormat/>
    <w:uiPriority w:val="99"/>
    <w:pPr>
      <w:keepNext/>
      <w:outlineLvl w:val="2"/>
    </w:pPr>
    <w:rPr>
      <w:kern w:val="0"/>
      <w:sz w:val="20"/>
      <w:szCs w:val="20"/>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5">
    <w:name w:val="annotation text"/>
    <w:basedOn w:val="1"/>
    <w:link w:val="25"/>
    <w:unhideWhenUsed/>
    <w:qFormat/>
    <w:uiPriority w:val="99"/>
    <w:pPr>
      <w:jc w:val="left"/>
    </w:pPr>
  </w:style>
  <w:style w:type="paragraph" w:styleId="6">
    <w:name w:val="Block Text"/>
    <w:basedOn w:val="1"/>
    <w:qFormat/>
    <w:uiPriority w:val="0"/>
    <w:pPr>
      <w:ind w:left="-1418" w:right="-1558" w:firstLine="1418"/>
    </w:pPr>
    <w:rPr>
      <w:sz w:val="28"/>
      <w:szCs w:val="20"/>
    </w:rPr>
  </w:style>
  <w:style w:type="paragraph" w:styleId="7">
    <w:name w:val="Plain Text"/>
    <w:basedOn w:val="1"/>
    <w:link w:val="26"/>
    <w:qFormat/>
    <w:uiPriority w:val="0"/>
    <w:rPr>
      <w:rFonts w:ascii="宋体" w:hAnsi="Courier New"/>
      <w:szCs w:val="20"/>
    </w:rPr>
  </w:style>
  <w:style w:type="paragraph" w:styleId="8">
    <w:name w:val="Date"/>
    <w:basedOn w:val="1"/>
    <w:next w:val="1"/>
    <w:link w:val="27"/>
    <w:qFormat/>
    <w:uiPriority w:val="99"/>
    <w:pPr>
      <w:ind w:left="100" w:leftChars="2500"/>
    </w:pPr>
    <w:rPr>
      <w:kern w:val="0"/>
      <w:sz w:val="24"/>
      <w:szCs w:val="24"/>
    </w:rPr>
  </w:style>
  <w:style w:type="paragraph" w:styleId="9">
    <w:name w:val="Balloon Text"/>
    <w:basedOn w:val="1"/>
    <w:link w:val="28"/>
    <w:semiHidden/>
    <w:qFormat/>
    <w:uiPriority w:val="99"/>
    <w:rPr>
      <w:rFonts w:eastAsia="仿宋_GB2312"/>
      <w:kern w:val="0"/>
      <w:sz w:val="18"/>
      <w:szCs w:val="18"/>
    </w:rPr>
  </w:style>
  <w:style w:type="paragraph" w:styleId="10">
    <w:name w:val="footer"/>
    <w:basedOn w:val="1"/>
    <w:link w:val="29"/>
    <w:qFormat/>
    <w:uiPriority w:val="0"/>
    <w:pPr>
      <w:tabs>
        <w:tab w:val="center" w:pos="4153"/>
        <w:tab w:val="right" w:pos="8306"/>
      </w:tabs>
      <w:snapToGrid w:val="0"/>
      <w:jc w:val="left"/>
    </w:pPr>
    <w:rPr>
      <w:kern w:val="0"/>
      <w:sz w:val="18"/>
      <w:szCs w:val="18"/>
    </w:rPr>
  </w:style>
  <w:style w:type="paragraph" w:styleId="11">
    <w:name w:val="header"/>
    <w:basedOn w:val="1"/>
    <w:link w:val="30"/>
    <w:qFormat/>
    <w:uiPriority w:val="0"/>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qFormat/>
    <w:locked/>
    <w:uiPriority w:val="39"/>
  </w:style>
  <w:style w:type="paragraph" w:styleId="13">
    <w:name w:val="toc 2"/>
    <w:basedOn w:val="1"/>
    <w:next w:val="1"/>
    <w:qFormat/>
    <w:locked/>
    <w:uiPriority w:val="39"/>
    <w:pPr>
      <w:ind w:left="420" w:leftChars="200"/>
    </w:pPr>
    <w:rPr>
      <w:szCs w:val="24"/>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annotation subject"/>
    <w:basedOn w:val="5"/>
    <w:next w:val="5"/>
    <w:link w:val="31"/>
    <w:unhideWhenUsed/>
    <w:qFormat/>
    <w:uiPriority w:val="99"/>
    <w:rPr>
      <w:b/>
      <w:bCs/>
    </w:rPr>
  </w:style>
  <w:style w:type="table" w:styleId="17">
    <w:name w:val="Table Grid"/>
    <w:basedOn w:val="16"/>
    <w:qFormat/>
    <w:lock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99"/>
    <w:rPr>
      <w:rFonts w:eastAsia="仿宋_GB2312"/>
      <w:sz w:val="24"/>
      <w:szCs w:val="24"/>
    </w:rPr>
  </w:style>
  <w:style w:type="character" w:styleId="20">
    <w:name w:val="Hyperlink"/>
    <w:qFormat/>
    <w:uiPriority w:val="99"/>
    <w:rPr>
      <w:color w:val="0000FF"/>
      <w:u w:val="single"/>
    </w:rPr>
  </w:style>
  <w:style w:type="character" w:styleId="21">
    <w:name w:val="annotation reference"/>
    <w:unhideWhenUsed/>
    <w:qFormat/>
    <w:uiPriority w:val="99"/>
    <w:rPr>
      <w:sz w:val="21"/>
      <w:szCs w:val="21"/>
    </w:rPr>
  </w:style>
  <w:style w:type="character" w:customStyle="1" w:styleId="22">
    <w:name w:val="标题 1 Char"/>
    <w:link w:val="2"/>
    <w:qFormat/>
    <w:locked/>
    <w:uiPriority w:val="99"/>
    <w:rPr>
      <w:rFonts w:ascii="Times New Roman" w:hAnsi="Times New Roman" w:eastAsia="宋体" w:cs="Times New Roman"/>
      <w:kern w:val="0"/>
      <w:sz w:val="20"/>
      <w:szCs w:val="20"/>
    </w:rPr>
  </w:style>
  <w:style w:type="character" w:customStyle="1" w:styleId="23">
    <w:name w:val="标题 2 Char"/>
    <w:link w:val="3"/>
    <w:qFormat/>
    <w:locked/>
    <w:uiPriority w:val="99"/>
    <w:rPr>
      <w:rFonts w:ascii="Times New Roman" w:hAnsi="Times New Roman" w:eastAsia="宋体" w:cs="Times New Roman"/>
      <w:kern w:val="0"/>
      <w:sz w:val="20"/>
      <w:szCs w:val="20"/>
    </w:rPr>
  </w:style>
  <w:style w:type="character" w:customStyle="1" w:styleId="24">
    <w:name w:val="标题 3 Char"/>
    <w:link w:val="4"/>
    <w:qFormat/>
    <w:locked/>
    <w:uiPriority w:val="99"/>
    <w:rPr>
      <w:rFonts w:ascii="Times New Roman" w:hAnsi="Times New Roman" w:eastAsia="宋体" w:cs="Times New Roman"/>
      <w:kern w:val="0"/>
      <w:sz w:val="20"/>
      <w:szCs w:val="20"/>
    </w:rPr>
  </w:style>
  <w:style w:type="character" w:customStyle="1" w:styleId="25">
    <w:name w:val="批注文字 Char"/>
    <w:link w:val="5"/>
    <w:semiHidden/>
    <w:qFormat/>
    <w:uiPriority w:val="99"/>
    <w:rPr>
      <w:rFonts w:ascii="Times New Roman" w:hAnsi="Times New Roman"/>
      <w:kern w:val="2"/>
      <w:sz w:val="21"/>
      <w:szCs w:val="21"/>
    </w:rPr>
  </w:style>
  <w:style w:type="character" w:customStyle="1" w:styleId="26">
    <w:name w:val="纯文本 Char"/>
    <w:link w:val="7"/>
    <w:qFormat/>
    <w:uiPriority w:val="0"/>
    <w:rPr>
      <w:rFonts w:ascii="宋体" w:hAnsi="Courier New"/>
      <w:kern w:val="2"/>
      <w:sz w:val="21"/>
    </w:rPr>
  </w:style>
  <w:style w:type="character" w:customStyle="1" w:styleId="27">
    <w:name w:val="日期 Char"/>
    <w:link w:val="8"/>
    <w:qFormat/>
    <w:locked/>
    <w:uiPriority w:val="99"/>
    <w:rPr>
      <w:rFonts w:ascii="Times New Roman" w:hAnsi="Times New Roman" w:eastAsia="宋体" w:cs="Times New Roman"/>
      <w:sz w:val="24"/>
      <w:szCs w:val="24"/>
    </w:rPr>
  </w:style>
  <w:style w:type="character" w:customStyle="1" w:styleId="28">
    <w:name w:val="批注框文本 Char"/>
    <w:link w:val="9"/>
    <w:semiHidden/>
    <w:qFormat/>
    <w:locked/>
    <w:uiPriority w:val="99"/>
    <w:rPr>
      <w:rFonts w:ascii="Times New Roman" w:hAnsi="Times New Roman" w:eastAsia="仿宋_GB2312" w:cs="Times New Roman"/>
      <w:sz w:val="18"/>
      <w:szCs w:val="18"/>
    </w:rPr>
  </w:style>
  <w:style w:type="character" w:customStyle="1" w:styleId="29">
    <w:name w:val="页脚 Char"/>
    <w:link w:val="10"/>
    <w:qFormat/>
    <w:locked/>
    <w:uiPriority w:val="99"/>
    <w:rPr>
      <w:rFonts w:ascii="Times New Roman" w:hAnsi="Times New Roman" w:eastAsia="宋体" w:cs="Times New Roman"/>
      <w:sz w:val="18"/>
      <w:szCs w:val="18"/>
    </w:rPr>
  </w:style>
  <w:style w:type="character" w:customStyle="1" w:styleId="30">
    <w:name w:val="页眉 Char"/>
    <w:link w:val="11"/>
    <w:qFormat/>
    <w:locked/>
    <w:uiPriority w:val="99"/>
    <w:rPr>
      <w:rFonts w:ascii="Times New Roman" w:hAnsi="Times New Roman" w:eastAsia="宋体" w:cs="Times New Roman"/>
      <w:sz w:val="18"/>
      <w:szCs w:val="18"/>
    </w:rPr>
  </w:style>
  <w:style w:type="character" w:customStyle="1" w:styleId="31">
    <w:name w:val="批注主题 Char"/>
    <w:link w:val="15"/>
    <w:semiHidden/>
    <w:qFormat/>
    <w:uiPriority w:val="99"/>
    <w:rPr>
      <w:rFonts w:ascii="Times New Roman" w:hAnsi="Times New Roman"/>
      <w:b/>
      <w:bCs/>
      <w:kern w:val="2"/>
      <w:sz w:val="21"/>
      <w:szCs w:val="21"/>
    </w:rPr>
  </w:style>
  <w:style w:type="character" w:customStyle="1" w:styleId="32">
    <w:name w:val="Date Char1"/>
    <w:semiHidden/>
    <w:qFormat/>
    <w:uiPriority w:val="99"/>
    <w:rPr>
      <w:rFonts w:ascii="Times New Roman" w:hAnsi="Times New Roman"/>
      <w:szCs w:val="21"/>
    </w:rPr>
  </w:style>
  <w:style w:type="character" w:customStyle="1" w:styleId="33">
    <w:name w:val="日期 Char1"/>
    <w:semiHidden/>
    <w:qFormat/>
    <w:uiPriority w:val="99"/>
    <w:rPr>
      <w:rFonts w:ascii="Times New Roman" w:hAnsi="Times New Roman" w:eastAsia="宋体" w:cs="Times New Roman"/>
      <w:sz w:val="24"/>
      <w:szCs w:val="24"/>
    </w:rPr>
  </w:style>
  <w:style w:type="character" w:customStyle="1" w:styleId="34">
    <w:name w:val="Footer Char1"/>
    <w:semiHidden/>
    <w:qFormat/>
    <w:uiPriority w:val="99"/>
    <w:rPr>
      <w:rFonts w:ascii="Times New Roman" w:hAnsi="Times New Roman"/>
      <w:sz w:val="18"/>
      <w:szCs w:val="18"/>
    </w:rPr>
  </w:style>
  <w:style w:type="character" w:customStyle="1" w:styleId="35">
    <w:name w:val="页脚 Char1"/>
    <w:semiHidden/>
    <w:qFormat/>
    <w:uiPriority w:val="99"/>
    <w:rPr>
      <w:rFonts w:ascii="Times New Roman" w:hAnsi="Times New Roman" w:eastAsia="宋体" w:cs="Times New Roman"/>
      <w:sz w:val="18"/>
      <w:szCs w:val="18"/>
    </w:rPr>
  </w:style>
  <w:style w:type="character" w:customStyle="1" w:styleId="36">
    <w:name w:val="Header Char1"/>
    <w:semiHidden/>
    <w:qFormat/>
    <w:uiPriority w:val="99"/>
    <w:rPr>
      <w:rFonts w:ascii="Times New Roman" w:hAnsi="Times New Roman"/>
      <w:sz w:val="18"/>
      <w:szCs w:val="18"/>
    </w:rPr>
  </w:style>
  <w:style w:type="character" w:customStyle="1" w:styleId="37">
    <w:name w:val="页眉 Char1"/>
    <w:semiHidden/>
    <w:qFormat/>
    <w:uiPriority w:val="99"/>
    <w:rPr>
      <w:rFonts w:ascii="Times New Roman" w:hAnsi="Times New Roman" w:eastAsia="宋体" w:cs="Times New Roman"/>
      <w:sz w:val="18"/>
      <w:szCs w:val="18"/>
    </w:rPr>
  </w:style>
  <w:style w:type="paragraph" w:customStyle="1" w:styleId="38">
    <w:name w:val="Char Char Char Char Char Char Char Char Char Char Char Char Char"/>
    <w:basedOn w:val="1"/>
    <w:qFormat/>
    <w:uiPriority w:val="99"/>
    <w:pPr>
      <w:snapToGrid w:val="0"/>
      <w:spacing w:line="360" w:lineRule="auto"/>
      <w:ind w:firstLine="200" w:firstLineChars="200"/>
    </w:pPr>
    <w:rPr>
      <w:rFonts w:eastAsia="仿宋_GB2312"/>
      <w:sz w:val="24"/>
      <w:szCs w:val="24"/>
    </w:rPr>
  </w:style>
  <w:style w:type="character" w:styleId="39">
    <w:name w:val="Placeholder Text"/>
    <w:semiHidden/>
    <w:qFormat/>
    <w:uiPriority w:val="99"/>
    <w:rPr>
      <w:rFonts w:eastAsia="仿宋_GB2312"/>
      <w:color w:val="808080"/>
      <w:sz w:val="24"/>
      <w:szCs w:val="24"/>
    </w:rPr>
  </w:style>
  <w:style w:type="paragraph" w:customStyle="1" w:styleId="40">
    <w:name w:val="默认段落字体 Para Char"/>
    <w:basedOn w:val="1"/>
    <w:qFormat/>
    <w:uiPriority w:val="0"/>
    <w:rPr>
      <w:rFonts w:ascii="Tahoma" w:hAnsi="Tahoma"/>
      <w:iCs/>
      <w:sz w:val="24"/>
      <w:szCs w:val="20"/>
    </w:rPr>
  </w:style>
  <w:style w:type="paragraph" w:customStyle="1" w:styleId="41">
    <w:name w:val=" Char"/>
    <w:basedOn w:val="1"/>
    <w:qFormat/>
    <w:uiPriority w:val="0"/>
    <w:rPr>
      <w:szCs w:val="24"/>
    </w:rPr>
  </w:style>
  <w:style w:type="paragraph" w:customStyle="1" w:styleId="42">
    <w:name w:val="_Style 41"/>
    <w:semiHidden/>
    <w:qFormat/>
    <w:uiPriority w:val="99"/>
    <w:rPr>
      <w:rFonts w:ascii="Times New Roman" w:hAnsi="Times New Roman" w:eastAsia="宋体" w:cs="Times New Roman"/>
      <w:kern w:val="2"/>
      <w:sz w:val="21"/>
      <w:szCs w:val="21"/>
      <w:lang w:val="en-US" w:eastAsia="zh-CN" w:bidi="ar-SA"/>
    </w:rPr>
  </w:style>
  <w:style w:type="paragraph" w:customStyle="1" w:styleId="43">
    <w:name w:val="标准文件_段"/>
    <w:qFormat/>
    <w:uiPriority w:val="0"/>
    <w:pPr>
      <w:autoSpaceDE w:val="0"/>
      <w:autoSpaceDN w:val="0"/>
      <w:spacing w:line="360" w:lineRule="auto"/>
      <w:ind w:firstLine="560" w:firstLineChars="200"/>
    </w:pPr>
    <w:rPr>
      <w:rFonts w:ascii="Times New Roman" w:hAnsi="Times New Roman" w:eastAsia="黑体" w:cs="Times New Roman"/>
      <w:spacing w:val="2"/>
      <w:sz w:val="24"/>
      <w:szCs w:val="24"/>
      <w:lang w:val="en-US" w:eastAsia="zh-CN" w:bidi="ar-SA"/>
    </w:rPr>
  </w:style>
  <w:style w:type="character" w:customStyle="1" w:styleId="44">
    <w:name w:val="font31"/>
    <w:basedOn w:val="18"/>
    <w:autoRedefine/>
    <w:qFormat/>
    <w:uiPriority w:val="0"/>
    <w:rPr>
      <w:rFonts w:hint="eastAsia" w:ascii="宋体" w:hAnsi="宋体" w:eastAsia="宋体" w:cs="宋体"/>
      <w:color w:val="000000"/>
      <w:sz w:val="21"/>
      <w:szCs w:val="21"/>
      <w:u w:val="none"/>
    </w:rPr>
  </w:style>
  <w:style w:type="character" w:customStyle="1" w:styleId="45">
    <w:name w:val="font61"/>
    <w:basedOn w:val="18"/>
    <w:autoRedefine/>
    <w:qFormat/>
    <w:uiPriority w:val="0"/>
    <w:rPr>
      <w:rFonts w:hint="default" w:ascii="Times New Roman" w:hAnsi="Times New Roman" w:cs="Times New Roman"/>
      <w:i/>
      <w:iCs/>
      <w:color w:val="000000"/>
      <w:sz w:val="22"/>
      <w:szCs w:val="22"/>
      <w:u w:val="none"/>
    </w:rPr>
  </w:style>
  <w:style w:type="character" w:customStyle="1" w:styleId="46">
    <w:name w:val="font41"/>
    <w:basedOn w:val="18"/>
    <w:autoRedefine/>
    <w:qFormat/>
    <w:uiPriority w:val="0"/>
    <w:rPr>
      <w:rFonts w:hint="default" w:ascii="Times New Roman" w:hAnsi="Times New Roman" w:cs="Times New Roman"/>
      <w:color w:val="000000"/>
      <w:sz w:val="22"/>
      <w:szCs w:val="22"/>
      <w:u w:val="none"/>
    </w:rPr>
  </w:style>
  <w:style w:type="character" w:customStyle="1" w:styleId="47">
    <w:name w:val="font01"/>
    <w:basedOn w:val="18"/>
    <w:autoRedefine/>
    <w:qFormat/>
    <w:uiPriority w:val="0"/>
    <w:rPr>
      <w:rFonts w:hint="eastAsia" w:ascii="等线" w:hAnsi="等线" w:eastAsia="等线" w:cs="等线"/>
      <w:color w:val="000000"/>
      <w:sz w:val="22"/>
      <w:szCs w:val="22"/>
      <w:u w:val="none"/>
    </w:rPr>
  </w:style>
  <w:style w:type="character" w:customStyle="1" w:styleId="48">
    <w:name w:val="font51"/>
    <w:basedOn w:val="18"/>
    <w:autoRedefine/>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wmf"/><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22</Pages>
  <Words>6371</Words>
  <Characters>7826</Characters>
  <Lines>24</Lines>
  <Paragraphs>6</Paragraphs>
  <TotalTime>0</TotalTime>
  <ScaleCrop>false</ScaleCrop>
  <LinksUpToDate>false</LinksUpToDate>
  <CharactersWithSpaces>8890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2022-10-24T02:04:00Z</dcterms:created>
  <dc:creator>FHX</dc:creator>
  <cp:lastModifiedBy>Bruis Kim</cp:lastModifiedBy>
  <cp:lastPrinted>2024-04-28T07:56:00Z</cp:lastPrinted>
  <dcterms:modified xsi:type="dcterms:W3CDTF">2024-10-22T08:36:52Z</dcterms:modified>
  <dc:title>中国测试技术研究院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ECBA3C3FF7C04B7F8F3650A54927D19A_13</vt:lpwstr>
  </property>
</Properties>
</file>